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ind w:firstLine="1325" w:firstLineChars="300"/>
        <w:rPr>
          <w:rFonts w:hint="eastAsia" w:ascii="楷体" w:hAnsi="楷体" w:eastAsia="宋体" w:cs="楷体"/>
          <w:b/>
          <w:sz w:val="44"/>
          <w:szCs w:val="44"/>
          <w:lang w:eastAsia="zh-CN"/>
        </w:rPr>
        <w:sectPr>
          <w:pgSz w:w="11906" w:h="16838"/>
          <w:pgMar w:top="2098" w:right="1474" w:bottom="1985" w:left="1588" w:header="851" w:footer="992" w:gutter="0"/>
          <w:cols w:space="425" w:num="1"/>
          <w:docGrid w:type="lines" w:linePitch="312" w:charSpace="0"/>
        </w:sectPr>
      </w:pPr>
      <w:r>
        <w:rPr>
          <w:b/>
          <w:sz w:val="44"/>
          <w:szCs w:val="44"/>
        </w:rPr>
        <w:t>廊坊市</w:t>
      </w:r>
      <w:r>
        <w:rPr>
          <w:rFonts w:hint="eastAsia"/>
          <w:b/>
          <w:sz w:val="44"/>
          <w:szCs w:val="44"/>
          <w:lang w:eastAsia="zh-CN"/>
        </w:rPr>
        <w:t>大厂回族自治县畜牧兽医局</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w:t>
      </w:r>
      <w:r>
        <w:rPr>
          <w:rFonts w:hint="eastAsia" w:eastAsia="黑体"/>
          <w:sz w:val="32"/>
          <w:szCs w:val="32"/>
          <w:lang w:val="en-US" w:eastAsia="zh-CN"/>
        </w:rPr>
        <w:t xml:space="preserve">   </w:t>
      </w:r>
      <w:r>
        <w:rPr>
          <w:rFonts w:eastAsia="黑体"/>
          <w:sz w:val="32"/>
          <w:szCs w:val="32"/>
        </w:rPr>
        <w:t>部门概况</w:t>
      </w:r>
    </w:p>
    <w:p>
      <w:pPr>
        <w:widowControl/>
        <w:numPr>
          <w:ilvl w:val="0"/>
          <w:numId w:val="1"/>
        </w:numPr>
        <w:spacing w:line="580" w:lineRule="exact"/>
        <w:ind w:firstLine="1273" w:firstLineChars="398"/>
        <w:rPr>
          <w:rFonts w:hint="eastAsia" w:eastAsia="仿宋_GB2312"/>
          <w:sz w:val="32"/>
          <w:szCs w:val="32"/>
        </w:rPr>
      </w:pPr>
      <w:r>
        <w:rPr>
          <w:rFonts w:eastAsia="仿宋_GB2312"/>
          <w:sz w:val="32"/>
          <w:szCs w:val="32"/>
        </w:rPr>
        <w:t>部门</w:t>
      </w:r>
      <w:r>
        <w:rPr>
          <w:rFonts w:hint="eastAsia" w:eastAsia="仿宋_GB2312"/>
          <w:sz w:val="32"/>
          <w:szCs w:val="32"/>
        </w:rPr>
        <w:t>职责</w:t>
      </w:r>
    </w:p>
    <w:p>
      <w:pPr>
        <w:widowControl/>
        <w:spacing w:line="580" w:lineRule="exact"/>
        <w:ind w:firstLine="1273" w:firstLineChars="398"/>
        <w:rPr>
          <w:rFonts w:hint="eastAsia"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黑体"/>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eastAsia="zh-CN"/>
        </w:rPr>
        <w:t>大厂回族自治县畜牧兽医局</w:t>
      </w:r>
      <w:r>
        <w:rPr>
          <w:rFonts w:eastAsia="黑体"/>
          <w:sz w:val="32"/>
          <w:szCs w:val="32"/>
        </w:rPr>
        <w:t>部门201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w:t>
      </w:r>
      <w:r>
        <w:rPr>
          <w:rFonts w:hint="eastAsia" w:eastAsia="黑体"/>
          <w:sz w:val="32"/>
          <w:szCs w:val="32"/>
          <w:lang w:val="en-US" w:eastAsia="zh-CN"/>
        </w:rPr>
        <w:t xml:space="preserve">   </w:t>
      </w:r>
      <w:r>
        <w:rPr>
          <w:rFonts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widowControl/>
        <w:numPr>
          <w:ilvl w:val="0"/>
          <w:numId w:val="0"/>
        </w:numPr>
        <w:spacing w:line="580" w:lineRule="exact"/>
        <w:ind w:firstLine="640" w:firstLineChars="200"/>
        <w:rPr>
          <w:rFonts w:hint="eastAsia" w:eastAsia="仿宋_GB2312"/>
          <w:sz w:val="32"/>
          <w:szCs w:val="32"/>
        </w:rPr>
      </w:pPr>
      <w:r>
        <w:rPr>
          <w:rFonts w:hint="eastAsia" w:eastAsia="仿宋_GB2312"/>
          <w:sz w:val="32"/>
          <w:szCs w:val="32"/>
          <w:lang w:val="en-US" w:eastAsia="zh-CN"/>
        </w:rPr>
        <w:t>1、</w:t>
      </w:r>
      <w:r>
        <w:rPr>
          <w:rFonts w:hint="eastAsia" w:eastAsia="仿宋_GB2312"/>
          <w:sz w:val="32"/>
          <w:szCs w:val="32"/>
        </w:rPr>
        <w:t>贯彻执行国家、省市有关畜牧业发展方针、政策和法律、法规，研究拟订畜牧业发展政策，指导畜牧业健康、持续、快速发展。</w:t>
      </w:r>
    </w:p>
    <w:p>
      <w:pPr>
        <w:widowControl/>
        <w:numPr>
          <w:ilvl w:val="0"/>
          <w:numId w:val="0"/>
        </w:numPr>
        <w:spacing w:line="580" w:lineRule="exact"/>
        <w:ind w:firstLine="640" w:firstLineChars="200"/>
        <w:rPr>
          <w:rFonts w:hint="eastAsia" w:eastAsia="仿宋_GB2312"/>
          <w:sz w:val="32"/>
          <w:szCs w:val="32"/>
        </w:rPr>
      </w:pPr>
      <w:r>
        <w:rPr>
          <w:rFonts w:hint="eastAsia" w:eastAsia="仿宋_GB2312"/>
          <w:sz w:val="32"/>
          <w:szCs w:val="32"/>
        </w:rPr>
        <w:t>2、拟订全县畜牧水产业发展规定、年度计划，搞好调查研究，引导全县畜牧水产业向布局合理、资源配置合理、产业结构合理方向发展。</w:t>
      </w:r>
    </w:p>
    <w:p>
      <w:pPr>
        <w:widowControl/>
        <w:numPr>
          <w:ilvl w:val="0"/>
          <w:numId w:val="0"/>
        </w:numPr>
        <w:spacing w:line="580" w:lineRule="exact"/>
        <w:ind w:firstLine="640" w:firstLineChars="200"/>
        <w:rPr>
          <w:rFonts w:hint="eastAsia" w:eastAsia="仿宋_GB2312"/>
          <w:sz w:val="32"/>
          <w:szCs w:val="32"/>
        </w:rPr>
      </w:pPr>
      <w:r>
        <w:rPr>
          <w:rFonts w:hint="eastAsia" w:eastAsia="仿宋_GB2312"/>
          <w:sz w:val="32"/>
          <w:szCs w:val="32"/>
        </w:rPr>
        <w:t>3、指导全县畜牧兽医水产业的结构调整、区域开发、服务体系、产业基地建设。</w:t>
      </w:r>
    </w:p>
    <w:p>
      <w:pPr>
        <w:widowControl/>
        <w:numPr>
          <w:ilvl w:val="0"/>
          <w:numId w:val="0"/>
        </w:numPr>
        <w:spacing w:line="580" w:lineRule="exact"/>
        <w:ind w:firstLine="640" w:firstLineChars="200"/>
        <w:rPr>
          <w:rFonts w:hint="eastAsia" w:eastAsia="仿宋_GB2312"/>
          <w:sz w:val="32"/>
          <w:szCs w:val="32"/>
        </w:rPr>
      </w:pPr>
      <w:r>
        <w:rPr>
          <w:rFonts w:hint="eastAsia" w:eastAsia="仿宋_GB2312"/>
          <w:sz w:val="32"/>
          <w:szCs w:val="32"/>
        </w:rPr>
        <w:t>4、负责畜牧兽医水产业项目的立项、申报工作，使行业项目建设更加合理，更加适应产业化的发展。</w:t>
      </w:r>
    </w:p>
    <w:p>
      <w:pPr>
        <w:widowControl/>
        <w:numPr>
          <w:ilvl w:val="0"/>
          <w:numId w:val="0"/>
        </w:numPr>
        <w:spacing w:line="580" w:lineRule="exact"/>
        <w:ind w:firstLine="640" w:firstLineChars="200"/>
        <w:rPr>
          <w:rFonts w:hint="eastAsia" w:eastAsia="仿宋_GB2312"/>
          <w:sz w:val="32"/>
          <w:szCs w:val="32"/>
        </w:rPr>
      </w:pPr>
      <w:r>
        <w:rPr>
          <w:rFonts w:hint="eastAsia" w:eastAsia="仿宋_GB2312"/>
          <w:sz w:val="32"/>
          <w:szCs w:val="32"/>
        </w:rPr>
        <w:t>5、制定全县畜牧水产业科研、技术引进、技术推广、发展、计划并付诸实施。加强全县畜牧水产业的技术普及、推广及人员培训、职业技能开展等方面工作。</w:t>
      </w:r>
    </w:p>
    <w:p>
      <w:pPr>
        <w:widowControl/>
        <w:numPr>
          <w:ilvl w:val="0"/>
          <w:numId w:val="0"/>
        </w:numPr>
        <w:spacing w:line="580" w:lineRule="exact"/>
        <w:ind w:firstLine="640" w:firstLineChars="200"/>
        <w:rPr>
          <w:rFonts w:hint="eastAsia" w:eastAsia="仿宋_GB2312"/>
          <w:sz w:val="32"/>
          <w:szCs w:val="32"/>
        </w:rPr>
      </w:pPr>
      <w:r>
        <w:rPr>
          <w:rFonts w:hint="eastAsia" w:eastAsia="仿宋_GB2312"/>
          <w:sz w:val="32"/>
          <w:szCs w:val="32"/>
        </w:rPr>
        <w:t>6、负责全县畜牧水产资源、草地资源的保护和建设，制定草地资源、农作物秸秆资源开展利用的中长期规划，以及对这些资源的开发利用；保护渔业水域生态环境和水生野生动植物。</w:t>
      </w:r>
    </w:p>
    <w:p>
      <w:pPr>
        <w:widowControl/>
        <w:numPr>
          <w:ilvl w:val="0"/>
          <w:numId w:val="0"/>
        </w:numPr>
        <w:spacing w:line="580" w:lineRule="exact"/>
        <w:ind w:firstLine="640" w:firstLineChars="200"/>
        <w:rPr>
          <w:rFonts w:hint="eastAsia" w:eastAsia="仿宋_GB2312"/>
          <w:sz w:val="32"/>
          <w:szCs w:val="32"/>
        </w:rPr>
      </w:pPr>
      <w:r>
        <w:rPr>
          <w:rFonts w:hint="eastAsia" w:eastAsia="仿宋_GB2312"/>
          <w:sz w:val="32"/>
          <w:szCs w:val="32"/>
        </w:rPr>
        <w:t>7、负责全县畜牧兽医行业管理，组织全县畜禽防疫、检疫、畜水产品安全、兽医医政、药检、饲料办、定点屠宰、种畜禽管理工作。监督检查渔业法规的执行。</w:t>
      </w:r>
    </w:p>
    <w:p>
      <w:pPr>
        <w:widowControl/>
        <w:numPr>
          <w:ilvl w:val="0"/>
          <w:numId w:val="0"/>
        </w:numPr>
        <w:spacing w:line="580" w:lineRule="exact"/>
        <w:ind w:firstLine="640" w:firstLineChars="200"/>
        <w:rPr>
          <w:rFonts w:hint="eastAsia" w:eastAsia="仿宋_GB2312"/>
          <w:sz w:val="32"/>
          <w:szCs w:val="32"/>
        </w:rPr>
      </w:pPr>
      <w:r>
        <w:rPr>
          <w:rFonts w:hint="eastAsia" w:eastAsia="仿宋_GB2312"/>
          <w:sz w:val="32"/>
          <w:szCs w:val="32"/>
        </w:rPr>
        <w:t>8、负责全县畜牧兽医服务机构的管理，引导建立畜牧兽医行业协会、中介服务组织等。</w:t>
      </w:r>
    </w:p>
    <w:p>
      <w:pPr>
        <w:widowControl/>
        <w:numPr>
          <w:ilvl w:val="0"/>
          <w:numId w:val="0"/>
        </w:numPr>
        <w:spacing w:line="580" w:lineRule="exact"/>
        <w:ind w:firstLine="640" w:firstLineChars="200"/>
        <w:rPr>
          <w:rFonts w:hint="eastAsia" w:eastAsia="仿宋_GB2312"/>
          <w:sz w:val="32"/>
          <w:szCs w:val="32"/>
        </w:rPr>
      </w:pPr>
      <w:r>
        <w:rPr>
          <w:rFonts w:hint="eastAsia" w:eastAsia="仿宋_GB2312"/>
          <w:sz w:val="32"/>
          <w:szCs w:val="32"/>
        </w:rPr>
        <w:t>9、负责畜牧兽医系统技术人员的职称工作，按照权限管理，负责系统内人事、劳资和机构编制、考核等项工作。</w:t>
      </w:r>
    </w:p>
    <w:p>
      <w:pPr>
        <w:widowControl/>
        <w:numPr>
          <w:ilvl w:val="0"/>
          <w:numId w:val="0"/>
        </w:numPr>
        <w:spacing w:line="580" w:lineRule="exact"/>
        <w:ind w:firstLine="640" w:firstLineChars="200"/>
        <w:rPr>
          <w:rFonts w:hint="eastAsia" w:ascii="仿宋_GB2312" w:eastAsia="仿宋_GB2312" w:cs="ArialUnicodeMS" w:hAnsiTheme="minorHAnsi"/>
          <w:kern w:val="0"/>
          <w:sz w:val="32"/>
          <w:szCs w:val="32"/>
          <w:highlight w:val="yellow"/>
        </w:rPr>
      </w:pPr>
      <w:r>
        <w:rPr>
          <w:rFonts w:hint="eastAsia" w:eastAsia="仿宋_GB2312"/>
          <w:sz w:val="32"/>
          <w:szCs w:val="32"/>
        </w:rPr>
        <w:t>10、承办县委、政府交办的其他工作。</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ind w:firstLine="640" w:firstLineChars="200"/>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w:t>
      </w:r>
      <w:r>
        <w:rPr>
          <w:rFonts w:hint="eastAsia" w:ascii="仿宋_GB2312" w:eastAsia="仿宋_GB2312" w:cs="ArialUnicodeMS" w:hAnsiTheme="minorHAnsi"/>
          <w:kern w:val="0"/>
          <w:sz w:val="32"/>
          <w:szCs w:val="32"/>
          <w:lang w:val="en-US" w:eastAsia="zh-CN"/>
        </w:rPr>
        <w:t>1</w:t>
      </w:r>
      <w:r>
        <w:rPr>
          <w:rFonts w:hint="eastAsia" w:ascii="仿宋_GB2312" w:eastAsia="仿宋_GB2312" w:cs="ArialUnicodeMS" w:hAnsiTheme="minorHAnsi"/>
          <w:kern w:val="0"/>
          <w:sz w:val="32"/>
          <w:szCs w:val="32"/>
        </w:rPr>
        <w:t>个，具体情况如下：</w:t>
      </w:r>
    </w:p>
    <w:tbl>
      <w:tblPr>
        <w:tblStyle w:val="14"/>
        <w:tblpPr w:leftFromText="180" w:rightFromText="180" w:vertAnchor="text" w:horzAnchor="page" w:tblpXSpec="center" w:tblpY="10"/>
        <w:tblOverlap w:val="never"/>
        <w:tblW w:w="93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4438"/>
        <w:gridCol w:w="2640"/>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81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4438"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640"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1412"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81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4438" w:type="dxa"/>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lang w:eastAsia="zh-CN"/>
              </w:rPr>
              <w:t>大厂回族自治县畜牧兽医局（本级）</w:t>
            </w:r>
          </w:p>
        </w:tc>
        <w:tc>
          <w:tcPr>
            <w:tcW w:w="2640" w:type="dxa"/>
          </w:tcPr>
          <w:p>
            <w:pPr>
              <w:spacing w:after="0" w:line="560" w:lineRule="exact"/>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财政补助事业单位</w:t>
            </w:r>
          </w:p>
        </w:tc>
        <w:tc>
          <w:tcPr>
            <w:tcW w:w="1412" w:type="dxa"/>
          </w:tcPr>
          <w:p>
            <w:pPr>
              <w:spacing w:after="0" w:line="560" w:lineRule="exact"/>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305"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hAnsiTheme="minorHAnsi"/>
                <w:kern w:val="0"/>
                <w:sz w:val="28"/>
                <w:szCs w:val="28"/>
              </w:rPr>
            </w:pPr>
          </w:p>
        </w:tc>
      </w:tr>
    </w:tbl>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both"/>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color w:val="000000" w:themeColor="text1"/>
          <w:sz w:val="72"/>
          <w:szCs w:val="96"/>
        </w:rPr>
      </w:pPr>
      <w:r>
        <w:rPr>
          <w:rFonts w:hint="eastAsia" w:hAnsi="宋体" w:asciiTheme="minorEastAsia" w:eastAsiaTheme="minorEastAsia"/>
          <w:color w:val="000000" w:themeColor="text1"/>
          <w:sz w:val="72"/>
          <w:szCs w:val="96"/>
        </w:rPr>
        <w:t>2018年度部门决算报表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tbl>
      <w:tblPr>
        <w:tblStyle w:val="13"/>
        <w:tblW w:w="9300" w:type="dxa"/>
        <w:jc w:val="center"/>
        <w:tblInd w:w="0" w:type="dxa"/>
        <w:tblLayout w:type="fixed"/>
        <w:tblCellMar>
          <w:top w:w="0" w:type="dxa"/>
          <w:left w:w="0" w:type="dxa"/>
          <w:bottom w:w="0" w:type="dxa"/>
          <w:right w:w="0" w:type="dxa"/>
        </w:tblCellMar>
      </w:tblPr>
      <w:tblGrid>
        <w:gridCol w:w="2700"/>
        <w:gridCol w:w="567"/>
        <w:gridCol w:w="1336"/>
        <w:gridCol w:w="2700"/>
        <w:gridCol w:w="567"/>
        <w:gridCol w:w="1430"/>
      </w:tblGrid>
      <w:tr>
        <w:tblPrEx>
          <w:tblLayout w:type="fixed"/>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Layout w:type="fixed"/>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Layout w:type="fixed"/>
          <w:tblCellMar>
            <w:top w:w="0" w:type="dxa"/>
            <w:left w:w="0" w:type="dxa"/>
            <w:bottom w:w="0" w:type="dxa"/>
            <w:right w:w="0" w:type="dxa"/>
          </w:tblCellMar>
        </w:tblPrEx>
        <w:trPr>
          <w:trHeight w:val="418" w:hRule="atLeast"/>
          <w:jc w:val="center"/>
        </w:trPr>
        <w:tc>
          <w:tcPr>
            <w:tcW w:w="4603"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 w:val="20"/>
                <w:szCs w:val="20"/>
                <w:lang w:eastAsia="zh-CN"/>
              </w:rPr>
              <w:t>大厂回族自治县畜牧兽医局</w:t>
            </w: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Layout w:type="fixed"/>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1166.80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56.16</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20.23</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1124.22</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33.72</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rPr>
              <w:t>1167.8</w:t>
            </w:r>
            <w:r>
              <w:rPr>
                <w:rFonts w:hint="eastAsia" w:ascii="宋体" w:hAnsi="宋体" w:cs="宋体"/>
                <w:color w:val="000000"/>
                <w:sz w:val="18"/>
                <w:szCs w:val="18"/>
                <w:lang w:val="en-US" w:eastAsia="zh-CN"/>
              </w:rPr>
              <w:t>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1234.32</w:t>
            </w:r>
          </w:p>
        </w:tc>
      </w:tr>
      <w:tr>
        <w:tblPrEx>
          <w:tblLayout w:type="fixed"/>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6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149.02</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82.51</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1316.82</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1316.82</w:t>
            </w:r>
          </w:p>
        </w:tc>
      </w:tr>
      <w:tr>
        <w:tblPrEx>
          <w:tblLayout w:type="fixed"/>
          <w:tblCellMar>
            <w:top w:w="0" w:type="dxa"/>
            <w:left w:w="0" w:type="dxa"/>
            <w:bottom w:w="0" w:type="dxa"/>
            <w:right w:w="0" w:type="dxa"/>
          </w:tblCellMar>
        </w:tblPrEx>
        <w:trPr>
          <w:trHeight w:val="932"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1440" w:right="1800" w:bottom="1440" w:left="1800" w:header="851" w:footer="992" w:gutter="0"/>
          <w:cols w:space="0" w:num="1"/>
          <w:docGrid w:type="lines" w:linePitch="312" w:charSpace="0"/>
        </w:sectPr>
      </w:pPr>
    </w:p>
    <w:tbl>
      <w:tblPr>
        <w:tblStyle w:val="13"/>
        <w:tblW w:w="8732" w:type="dxa"/>
        <w:jc w:val="center"/>
        <w:tblInd w:w="68" w:type="dxa"/>
        <w:tblLayout w:type="fixed"/>
        <w:tblCellMar>
          <w:top w:w="0" w:type="dxa"/>
          <w:left w:w="0" w:type="dxa"/>
          <w:bottom w:w="0" w:type="dxa"/>
          <w:right w:w="0" w:type="dxa"/>
        </w:tblCellMar>
      </w:tblPr>
      <w:tblGrid>
        <w:gridCol w:w="267"/>
        <w:gridCol w:w="179"/>
        <w:gridCol w:w="520"/>
        <w:gridCol w:w="1318"/>
        <w:gridCol w:w="533"/>
        <w:gridCol w:w="260"/>
        <w:gridCol w:w="127"/>
        <w:gridCol w:w="688"/>
        <w:gridCol w:w="232"/>
        <w:gridCol w:w="584"/>
        <w:gridCol w:w="337"/>
        <w:gridCol w:w="478"/>
        <w:gridCol w:w="442"/>
        <w:gridCol w:w="373"/>
        <w:gridCol w:w="548"/>
        <w:gridCol w:w="920"/>
        <w:gridCol w:w="926"/>
      </w:tblGrid>
      <w:tr>
        <w:tblPrEx>
          <w:tblLayout w:type="fixed"/>
          <w:tblCellMar>
            <w:top w:w="0" w:type="dxa"/>
            <w:left w:w="0" w:type="dxa"/>
            <w:bottom w:w="0" w:type="dxa"/>
            <w:right w:w="0" w:type="dxa"/>
          </w:tblCellMar>
        </w:tblPrEx>
        <w:trPr>
          <w:trHeight w:val="770" w:hRule="atLeast"/>
          <w:jc w:val="center"/>
        </w:trPr>
        <w:tc>
          <w:tcPr>
            <w:tcW w:w="8732" w:type="dxa"/>
            <w:gridSpan w:val="17"/>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Layout w:type="fixed"/>
          <w:tblCellMar>
            <w:top w:w="0" w:type="dxa"/>
            <w:left w:w="0" w:type="dxa"/>
            <w:bottom w:w="0" w:type="dxa"/>
            <w:right w:w="0" w:type="dxa"/>
          </w:tblCellMar>
        </w:tblPrEx>
        <w:trPr>
          <w:trHeight w:val="362" w:hRule="atLeast"/>
          <w:jc w:val="center"/>
        </w:trPr>
        <w:tc>
          <w:tcPr>
            <w:tcW w:w="2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1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Layout w:type="fixed"/>
          <w:tblCellMar>
            <w:top w:w="0" w:type="dxa"/>
            <w:left w:w="0" w:type="dxa"/>
            <w:bottom w:w="0" w:type="dxa"/>
            <w:right w:w="0" w:type="dxa"/>
          </w:tblCellMar>
        </w:tblPrEx>
        <w:trPr>
          <w:trHeight w:val="362" w:hRule="atLeast"/>
          <w:jc w:val="center"/>
        </w:trPr>
        <w:tc>
          <w:tcPr>
            <w:tcW w:w="4708" w:type="dxa"/>
            <w:gridSpan w:val="10"/>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hint="eastAsia" w:ascii="Arial" w:hAnsi="Arial" w:eastAsia="宋体" w:cs="Arial"/>
                <w:color w:val="000000"/>
                <w:szCs w:val="21"/>
                <w:lang w:eastAsia="zh-CN"/>
              </w:rPr>
            </w:pPr>
            <w:r>
              <w:rPr>
                <w:rFonts w:hint="eastAsia" w:ascii="宋体" w:hAnsi="宋体" w:cs="宋体"/>
                <w:color w:val="000000"/>
                <w:kern w:val="0"/>
                <w:szCs w:val="21"/>
              </w:rPr>
              <w:t>部门：</w:t>
            </w:r>
            <w:r>
              <w:rPr>
                <w:rFonts w:hint="eastAsia" w:ascii="宋体" w:hAnsi="宋体" w:cs="宋体"/>
                <w:color w:val="000000"/>
                <w:kern w:val="0"/>
                <w:szCs w:val="21"/>
                <w:lang w:eastAsia="zh-CN"/>
              </w:rPr>
              <w:t>大厂回族自治县畜牧兽医局</w:t>
            </w: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25" w:hRule="atLeast"/>
          <w:jc w:val="center"/>
        </w:trPr>
        <w:tc>
          <w:tcPr>
            <w:tcW w:w="2284"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920" w:type="dxa"/>
            <w:gridSpan w:val="3"/>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92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92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92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92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Layout w:type="fixed"/>
          <w:tblCellMar>
            <w:top w:w="0" w:type="dxa"/>
            <w:left w:w="0" w:type="dxa"/>
            <w:bottom w:w="0" w:type="dxa"/>
            <w:right w:w="0" w:type="dxa"/>
          </w:tblCellMar>
        </w:tblPrEx>
        <w:trPr>
          <w:trHeight w:val="626" w:hRule="atLeast"/>
          <w:jc w:val="center"/>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1318"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20" w:type="dxa"/>
            <w:gridSpan w:val="3"/>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920" w:type="dxa"/>
            <w:gridSpan w:val="2"/>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2"/>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gridSpan w:val="2"/>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2"/>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6" w:type="dxa"/>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Layout w:type="fixed"/>
          <w:tblCellMar>
            <w:top w:w="0" w:type="dxa"/>
            <w:left w:w="0" w:type="dxa"/>
            <w:bottom w:w="0" w:type="dxa"/>
            <w:right w:w="0" w:type="dxa"/>
          </w:tblCellMar>
        </w:tblPrEx>
        <w:trPr>
          <w:trHeight w:val="391" w:hRule="atLeast"/>
          <w:jc w:val="center"/>
        </w:trPr>
        <w:tc>
          <w:tcPr>
            <w:tcW w:w="228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9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Layout w:type="fixed"/>
          <w:tblCellMar>
            <w:top w:w="0" w:type="dxa"/>
            <w:left w:w="0" w:type="dxa"/>
            <w:bottom w:w="0" w:type="dxa"/>
            <w:right w:w="0" w:type="dxa"/>
          </w:tblCellMar>
        </w:tblPrEx>
        <w:trPr>
          <w:trHeight w:val="90" w:hRule="atLeast"/>
          <w:jc w:val="center"/>
        </w:trPr>
        <w:tc>
          <w:tcPr>
            <w:tcW w:w="228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合计</w:t>
            </w:r>
          </w:p>
        </w:tc>
        <w:tc>
          <w:tcPr>
            <w:tcW w:w="92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1,167.80</w:t>
            </w:r>
          </w:p>
        </w:tc>
        <w:tc>
          <w:tcPr>
            <w:tcW w:w="9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1,167.80</w:t>
            </w:r>
          </w:p>
        </w:tc>
        <w:tc>
          <w:tcPr>
            <w:tcW w:w="92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1.00</w:t>
            </w:r>
          </w:p>
        </w:tc>
        <w:tc>
          <w:tcPr>
            <w:tcW w:w="9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r>
      <w:tr>
        <w:tblPrEx>
          <w:tblLayout w:type="fixed"/>
          <w:tblCellMar>
            <w:top w:w="0" w:type="dxa"/>
            <w:left w:w="0" w:type="dxa"/>
            <w:bottom w:w="0" w:type="dxa"/>
            <w:right w:w="0" w:type="dxa"/>
          </w:tblCellMar>
        </w:tblPrEx>
        <w:trPr>
          <w:trHeight w:val="505" w:hRule="atLeast"/>
          <w:jc w:val="center"/>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208</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社会保障和就业支出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56.16</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56.16</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r>
      <w:tr>
        <w:tblPrEx>
          <w:tblLayout w:type="fixed"/>
          <w:tblCellMar>
            <w:top w:w="0" w:type="dxa"/>
            <w:left w:w="0" w:type="dxa"/>
            <w:bottom w:w="0" w:type="dxa"/>
            <w:right w:w="0" w:type="dxa"/>
          </w:tblCellMar>
        </w:tblPrEx>
        <w:trPr>
          <w:trHeight w:val="685" w:hRule="atLeast"/>
          <w:jc w:val="center"/>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20805</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行政事业单位离退休</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56.16</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56.16</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r>
      <w:tr>
        <w:tblPrEx>
          <w:tblLayout w:type="fixed"/>
          <w:tblCellMar>
            <w:top w:w="0" w:type="dxa"/>
            <w:left w:w="0" w:type="dxa"/>
            <w:bottom w:w="0" w:type="dxa"/>
            <w:right w:w="0" w:type="dxa"/>
          </w:tblCellMar>
        </w:tblPrEx>
        <w:trPr>
          <w:trHeight w:val="780" w:hRule="atLeast"/>
          <w:jc w:val="center"/>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2080505</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机关事业单位基本养老保险缴费支出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56.16</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56.16</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r>
      <w:tr>
        <w:tblPrEx>
          <w:tblLayout w:type="fixed"/>
          <w:tblCellMar>
            <w:top w:w="0" w:type="dxa"/>
            <w:left w:w="0" w:type="dxa"/>
            <w:bottom w:w="0" w:type="dxa"/>
            <w:right w:w="0" w:type="dxa"/>
          </w:tblCellMar>
        </w:tblPrEx>
        <w:trPr>
          <w:trHeight w:val="580" w:hRule="atLeast"/>
          <w:jc w:val="center"/>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210</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医疗卫生与计划生育支出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20.23</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20.23</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r>
      <w:tr>
        <w:tblPrEx>
          <w:tblLayout w:type="fixed"/>
          <w:tblCellMar>
            <w:top w:w="0" w:type="dxa"/>
            <w:left w:w="0" w:type="dxa"/>
            <w:bottom w:w="0" w:type="dxa"/>
            <w:right w:w="0" w:type="dxa"/>
          </w:tblCellMar>
        </w:tblPrEx>
        <w:trPr>
          <w:trHeight w:val="520" w:hRule="atLeast"/>
          <w:jc w:val="center"/>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21011</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行政事业单位医疗</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20.23</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20.23</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r>
      <w:tr>
        <w:tblPrEx>
          <w:tblLayout w:type="fixed"/>
          <w:tblCellMar>
            <w:top w:w="0" w:type="dxa"/>
            <w:left w:w="0" w:type="dxa"/>
            <w:bottom w:w="0" w:type="dxa"/>
            <w:right w:w="0" w:type="dxa"/>
          </w:tblCellMar>
        </w:tblPrEx>
        <w:trPr>
          <w:trHeight w:val="371" w:hRule="atLeast"/>
          <w:jc w:val="center"/>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2101102</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事业单位医疗</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20.23</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20.23</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r>
      <w:tr>
        <w:tblPrEx>
          <w:tblLayout w:type="fixed"/>
          <w:tblCellMar>
            <w:top w:w="0" w:type="dxa"/>
            <w:left w:w="0" w:type="dxa"/>
            <w:bottom w:w="0" w:type="dxa"/>
            <w:right w:w="0" w:type="dxa"/>
          </w:tblCellMar>
        </w:tblPrEx>
        <w:trPr>
          <w:trHeight w:val="371" w:hRule="atLeast"/>
          <w:jc w:val="center"/>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213</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农林水支出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1,057.70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1,057.70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1.00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r>
      <w:tr>
        <w:tblPrEx>
          <w:tblLayout w:type="fixed"/>
          <w:tblCellMar>
            <w:top w:w="0" w:type="dxa"/>
            <w:left w:w="0" w:type="dxa"/>
            <w:bottom w:w="0" w:type="dxa"/>
            <w:right w:w="0" w:type="dxa"/>
          </w:tblCellMar>
        </w:tblPrEx>
        <w:trPr>
          <w:trHeight w:val="371" w:hRule="atLeast"/>
          <w:jc w:val="center"/>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21301</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农业</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1,057.70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1,057.70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1.00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r>
      <w:tr>
        <w:tblPrEx>
          <w:tblLayout w:type="fixed"/>
          <w:tblCellMar>
            <w:top w:w="0" w:type="dxa"/>
            <w:left w:w="0" w:type="dxa"/>
            <w:bottom w:w="0" w:type="dxa"/>
            <w:right w:w="0" w:type="dxa"/>
          </w:tblCellMar>
        </w:tblPrEx>
        <w:trPr>
          <w:trHeight w:val="371" w:hRule="atLeast"/>
          <w:jc w:val="center"/>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2130101</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行政运行</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954.31</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954.31</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r>
      <w:tr>
        <w:tblPrEx>
          <w:tblLayout w:type="fixed"/>
          <w:tblCellMar>
            <w:top w:w="0" w:type="dxa"/>
            <w:left w:w="0" w:type="dxa"/>
            <w:bottom w:w="0" w:type="dxa"/>
            <w:right w:w="0" w:type="dxa"/>
          </w:tblCellMar>
        </w:tblPrEx>
        <w:trPr>
          <w:trHeight w:val="371" w:hRule="atLeast"/>
          <w:jc w:val="center"/>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2130108</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病虫害控制</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92.44</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92.44</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r>
      <w:tr>
        <w:tblPrEx>
          <w:tblLayout w:type="fixed"/>
          <w:tblCellMar>
            <w:top w:w="0" w:type="dxa"/>
            <w:left w:w="0" w:type="dxa"/>
            <w:bottom w:w="0" w:type="dxa"/>
            <w:right w:w="0" w:type="dxa"/>
          </w:tblCellMar>
        </w:tblPrEx>
        <w:trPr>
          <w:trHeight w:val="430" w:hRule="atLeast"/>
          <w:jc w:val="center"/>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2130109</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农产品质量安全</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1.00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1.00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1.00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r>
      <w:tr>
        <w:tblPrEx>
          <w:tblLayout w:type="fixed"/>
          <w:tblCellMar>
            <w:top w:w="0" w:type="dxa"/>
            <w:left w:w="0" w:type="dxa"/>
            <w:bottom w:w="0" w:type="dxa"/>
            <w:right w:w="0" w:type="dxa"/>
          </w:tblCellMar>
        </w:tblPrEx>
        <w:trPr>
          <w:trHeight w:val="371" w:hRule="atLeast"/>
          <w:jc w:val="center"/>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2130110</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执法监管</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1.50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1.50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r>
      <w:tr>
        <w:tblPrEx>
          <w:tblLayout w:type="fixed"/>
          <w:tblCellMar>
            <w:top w:w="0" w:type="dxa"/>
            <w:left w:w="0" w:type="dxa"/>
            <w:bottom w:w="0" w:type="dxa"/>
            <w:right w:w="0" w:type="dxa"/>
          </w:tblCellMar>
        </w:tblPrEx>
        <w:trPr>
          <w:trHeight w:val="371" w:hRule="atLeast"/>
          <w:jc w:val="center"/>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2130199</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其他农业支出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8.45</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8.45</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r>
      <w:tr>
        <w:tblPrEx>
          <w:tblLayout w:type="fixed"/>
          <w:tblCellMar>
            <w:top w:w="0" w:type="dxa"/>
            <w:left w:w="0" w:type="dxa"/>
            <w:bottom w:w="0" w:type="dxa"/>
            <w:right w:w="0" w:type="dxa"/>
          </w:tblCellMar>
        </w:tblPrEx>
        <w:trPr>
          <w:trHeight w:val="371" w:hRule="atLeast"/>
          <w:jc w:val="center"/>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221</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住房保障支出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33.72</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33.72</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r>
      <w:tr>
        <w:tblPrEx>
          <w:tblLayout w:type="fixed"/>
          <w:tblCellMar>
            <w:top w:w="0" w:type="dxa"/>
            <w:left w:w="0" w:type="dxa"/>
            <w:bottom w:w="0" w:type="dxa"/>
            <w:right w:w="0" w:type="dxa"/>
          </w:tblCellMar>
        </w:tblPrEx>
        <w:trPr>
          <w:trHeight w:val="401" w:hRule="atLeast"/>
          <w:jc w:val="center"/>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22102</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住房改革支出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33.72</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33.72</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r>
      <w:tr>
        <w:tblPrEx>
          <w:tblLayout w:type="fixed"/>
          <w:tblCellMar>
            <w:top w:w="0" w:type="dxa"/>
            <w:left w:w="0" w:type="dxa"/>
            <w:bottom w:w="0" w:type="dxa"/>
            <w:right w:w="0" w:type="dxa"/>
          </w:tblCellMar>
        </w:tblPrEx>
        <w:trPr>
          <w:trHeight w:val="371" w:hRule="atLeast"/>
          <w:jc w:val="center"/>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2210201</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住房公积金</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33.72</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33.72</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p>
        </w:tc>
      </w:tr>
      <w:tr>
        <w:tblPrEx>
          <w:tblLayout w:type="fixed"/>
          <w:tblCellMar>
            <w:top w:w="0" w:type="dxa"/>
            <w:left w:w="0" w:type="dxa"/>
            <w:bottom w:w="0" w:type="dxa"/>
            <w:right w:w="0" w:type="dxa"/>
          </w:tblCellMar>
        </w:tblPrEx>
        <w:trPr>
          <w:trHeight w:val="481" w:hRule="atLeast"/>
          <w:jc w:val="center"/>
        </w:trPr>
        <w:tc>
          <w:tcPr>
            <w:tcW w:w="8732" w:type="dxa"/>
            <w:gridSpan w:val="17"/>
            <w:tcBorders>
              <w:top w:val="nil"/>
              <w:left w:val="nil"/>
              <w:bottom w:val="nil"/>
              <w:right w:val="nil"/>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注：本表反映部门本年度取得的各项收入情况。</w:t>
            </w:r>
          </w:p>
        </w:tc>
      </w:tr>
    </w:tbl>
    <w:p>
      <w:pPr>
        <w:widowControl/>
        <w:spacing w:after="0" w:line="200" w:lineRule="exact"/>
        <w:jc w:val="left"/>
        <w:textAlignment w:val="center"/>
        <w:rPr>
          <w:rFonts w:hint="eastAsia" w:ascii="宋体" w:hAnsi="宋体" w:cs="宋体"/>
          <w:color w:val="000000"/>
          <w:kern w:val="0"/>
          <w:sz w:val="20"/>
          <w:szCs w:val="20"/>
        </w:rPr>
        <w:sectPr>
          <w:pgSz w:w="11906" w:h="16838"/>
          <w:pgMar w:top="2098" w:right="1474" w:bottom="1984" w:left="1588" w:header="851" w:footer="992" w:gutter="0"/>
          <w:cols w:space="0" w:num="1"/>
          <w:docGrid w:type="lines" w:linePitch="312" w:charSpace="0"/>
        </w:sectPr>
      </w:pPr>
    </w:p>
    <w:tbl>
      <w:tblPr>
        <w:tblStyle w:val="13"/>
        <w:tblW w:w="9000" w:type="dxa"/>
        <w:tblInd w:w="0" w:type="dxa"/>
        <w:tblLayout w:type="fixed"/>
        <w:tblCellMar>
          <w:top w:w="0" w:type="dxa"/>
          <w:left w:w="0" w:type="dxa"/>
          <w:bottom w:w="0" w:type="dxa"/>
          <w:right w:w="0" w:type="dxa"/>
        </w:tblCellMar>
      </w:tblPr>
      <w:tblGrid>
        <w:gridCol w:w="290"/>
        <w:gridCol w:w="289"/>
        <w:gridCol w:w="803"/>
        <w:gridCol w:w="1117"/>
        <w:gridCol w:w="647"/>
        <w:gridCol w:w="436"/>
        <w:gridCol w:w="682"/>
        <w:gridCol w:w="402"/>
        <w:gridCol w:w="718"/>
        <w:gridCol w:w="365"/>
        <w:gridCol w:w="753"/>
        <w:gridCol w:w="331"/>
        <w:gridCol w:w="789"/>
        <w:gridCol w:w="294"/>
        <w:gridCol w:w="1084"/>
      </w:tblGrid>
      <w:tr>
        <w:tblPrEx>
          <w:tblLayout w:type="fixed"/>
          <w:tblCellMar>
            <w:top w:w="0" w:type="dxa"/>
            <w:left w:w="0" w:type="dxa"/>
            <w:bottom w:w="0" w:type="dxa"/>
            <w:right w:w="0" w:type="dxa"/>
          </w:tblCellMar>
        </w:tblPrEx>
        <w:trPr>
          <w:trHeight w:val="90" w:hRule="atLeast"/>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Layout w:type="fixed"/>
          <w:tblCellMar>
            <w:top w:w="0" w:type="dxa"/>
            <w:left w:w="0" w:type="dxa"/>
            <w:bottom w:w="0" w:type="dxa"/>
            <w:right w:w="0" w:type="dxa"/>
          </w:tblCellMar>
        </w:tblPrEx>
        <w:trPr>
          <w:trHeight w:val="254" w:hRule="atLeast"/>
        </w:trPr>
        <w:tc>
          <w:tcPr>
            <w:tcW w:w="2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Layout w:type="fixed"/>
          <w:tblCellMar>
            <w:top w:w="0" w:type="dxa"/>
            <w:left w:w="0" w:type="dxa"/>
            <w:bottom w:w="0" w:type="dxa"/>
            <w:right w:w="0" w:type="dxa"/>
          </w:tblCellMar>
        </w:tblPrEx>
        <w:trPr>
          <w:trHeight w:val="380" w:hRule="atLeast"/>
        </w:trPr>
        <w:tc>
          <w:tcPr>
            <w:tcW w:w="4264"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Cs w:val="21"/>
              </w:rPr>
              <w:t>部门：</w:t>
            </w:r>
            <w:r>
              <w:rPr>
                <w:rFonts w:hint="eastAsia" w:ascii="宋体" w:hAnsi="宋体" w:cs="宋体"/>
                <w:color w:val="000000"/>
                <w:kern w:val="0"/>
                <w:szCs w:val="21"/>
                <w:lang w:eastAsia="zh-CN"/>
              </w:rPr>
              <w:t>大厂回族自治县畜牧兽医局</w:t>
            </w: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702" w:hRule="atLeast"/>
        </w:trPr>
        <w:tc>
          <w:tcPr>
            <w:tcW w:w="249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108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08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1084"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Layout w:type="fixed"/>
          <w:tblCellMar>
            <w:top w:w="0" w:type="dxa"/>
            <w:left w:w="0" w:type="dxa"/>
            <w:bottom w:w="0" w:type="dxa"/>
            <w:right w:w="0" w:type="dxa"/>
          </w:tblCellMar>
        </w:tblPrEx>
        <w:trPr>
          <w:trHeight w:val="602"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95" w:hRule="atLeast"/>
        </w:trPr>
        <w:tc>
          <w:tcPr>
            <w:tcW w:w="249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440" w:hRule="atLeast"/>
        </w:trPr>
        <w:tc>
          <w:tcPr>
            <w:tcW w:w="249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合计</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1,234.32</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1,037.42</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196.89</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208</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社会保障和就业支出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56.16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56.16</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20805</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行政事业单位离退休</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56.16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56.16</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2080505</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机关事业单位基本养老保险缴费支出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56.16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56.16</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210</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医疗卫生与计划生育支出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20.23</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20.23</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21011</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行政事业单位医疗</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20.23</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20.23</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2101102</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事业单位医疗</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20.23</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20.23</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农林水支出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1,124.22</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927.32</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196.89</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21301</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农业</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1,124.22</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927.32</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196.89</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2130101</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行政运行</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972.68</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910.88</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61.80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2130108</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病虫害控制</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107.71</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16.44</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91.28</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2130109</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农产品质量安全</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5.83</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5.83</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2130110</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执法监管</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1.50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1.50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2130135</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农业资源保护修复与利用</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0.84</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0.84</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2130199</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其他农业支出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35.65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35.65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221</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住房保障支出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33.72</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33.72</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22102</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住房改革支出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33.72</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33.72</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2210201</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住房公积金</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33.72</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33.72</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textAlignment w:val="center"/>
              <w:rPr>
                <w:rFonts w:hint="eastAsia" w:ascii="宋体" w:hAnsi="宋体" w:cs="宋体"/>
                <w:color w:val="000000"/>
                <w:kern w:val="0"/>
                <w:sz w:val="20"/>
                <w:szCs w:val="20"/>
                <w:lang w:val="en-US" w:eastAsia="zh-CN"/>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r>
      <w:tr>
        <w:tblPrEx>
          <w:tblLayout w:type="fixed"/>
          <w:tblCellMar>
            <w:top w:w="0" w:type="dxa"/>
            <w:left w:w="0" w:type="dxa"/>
            <w:bottom w:w="0" w:type="dxa"/>
            <w:right w:w="0" w:type="dxa"/>
          </w:tblCellMar>
        </w:tblPrEx>
        <w:trPr>
          <w:trHeight w:val="468" w:hRule="atLeast"/>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361" w:bottom="1417"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Layout w:type="fixed"/>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Layout w:type="fixed"/>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Layout w:type="fixed"/>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Cs w:val="21"/>
                <w:lang w:eastAsia="zh-CN"/>
              </w:rPr>
              <w:t>大厂回族自治县畜牧兽医局</w:t>
            </w: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Layout w:type="fixed"/>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rPr>
              <w:t>1166.8</w:t>
            </w:r>
            <w:r>
              <w:rPr>
                <w:rFonts w:hint="eastAsia" w:ascii="宋体" w:hAnsi="宋体" w:cs="宋体"/>
                <w:color w:val="000000"/>
                <w:sz w:val="18"/>
                <w:szCs w:val="18"/>
                <w:lang w:val="en-US" w:eastAsia="zh-CN"/>
              </w:rPr>
              <w:t>0</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56.16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56.16</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20.23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20.23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1,092.57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1,092.57</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33.72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33.72</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1,166.80</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1,202.67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1,202.67</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117.44</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81.56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81.56</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117.44</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1,284.24</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1,284.24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1,284.24</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Layout w:type="fixed"/>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Layout w:type="fixed"/>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Layout w:type="fixed"/>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rPr>
              <w:t>部门：</w:t>
            </w:r>
            <w:r>
              <w:rPr>
                <w:rFonts w:hint="eastAsia" w:ascii="宋体" w:hAnsi="宋体" w:cs="宋体"/>
                <w:color w:val="000000"/>
                <w:kern w:val="0"/>
                <w:szCs w:val="21"/>
                <w:lang w:eastAsia="zh-CN"/>
              </w:rPr>
              <w:t>大厂回族自治县畜牧兽医局</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Layout w:type="fixed"/>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Layout w:type="fixed"/>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Layout w:type="fixed"/>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合计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1,202.67</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1,037.42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165.25</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208</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社会保障和就业支出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56.16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56.16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20805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行政事业单位离退休</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56.16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56.16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2080505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机关事业单位基本养老保险缴费支出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56.16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56.16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210</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医疗卫生与计划生育支出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20.23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20.23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21011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行政事业单位医疗</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20.23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20.23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2101102</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事业单位医疗</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20.23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20.23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213</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农林水支出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1,092.57</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927.32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165.25</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21301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农业</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1,092.57</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927.32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165.25</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2130101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行政运行</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972.68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910.88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61.80</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2130108</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病虫害控制</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107.71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16.44</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91.28</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2130109</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农产品质量安全</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4.83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4.83</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2130110</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执法监管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1.50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1.50</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2130135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农业资源保护修复与利用</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0.84</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0.84</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2130199</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其他农业支出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5.01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5.01</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221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住房保障支出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33.72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33.72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22102</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住房改革支出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33.72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33.72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2210201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住房公积金</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33.72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33.72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8"/>
                <w:szCs w:val="18"/>
              </w:rPr>
            </w:pPr>
          </w:p>
        </w:tc>
      </w:tr>
      <w:tr>
        <w:tblPrEx>
          <w:tblLayout w:type="fixed"/>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180" w:type="dxa"/>
        <w:jc w:val="center"/>
        <w:tblInd w:w="0" w:type="dxa"/>
        <w:tblLayout w:type="fixed"/>
        <w:tblCellMar>
          <w:top w:w="0" w:type="dxa"/>
          <w:left w:w="0" w:type="dxa"/>
          <w:bottom w:w="0" w:type="dxa"/>
          <w:right w:w="0" w:type="dxa"/>
        </w:tblCellMar>
      </w:tblPr>
      <w:tblGrid>
        <w:gridCol w:w="663"/>
        <w:gridCol w:w="1605"/>
        <w:gridCol w:w="727"/>
        <w:gridCol w:w="548"/>
        <w:gridCol w:w="1692"/>
        <w:gridCol w:w="740"/>
        <w:gridCol w:w="560"/>
        <w:gridCol w:w="1928"/>
        <w:gridCol w:w="717"/>
      </w:tblGrid>
      <w:tr>
        <w:tblPrEx>
          <w:tblLayout w:type="fixed"/>
          <w:tblCellMar>
            <w:top w:w="0" w:type="dxa"/>
            <w:left w:w="0" w:type="dxa"/>
            <w:bottom w:w="0" w:type="dxa"/>
            <w:right w:w="0" w:type="dxa"/>
          </w:tblCellMar>
        </w:tblPrEx>
        <w:trPr>
          <w:trHeight w:val="519"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Layout w:type="fixed"/>
          <w:tblCellMar>
            <w:top w:w="0" w:type="dxa"/>
            <w:left w:w="0" w:type="dxa"/>
            <w:bottom w:w="0" w:type="dxa"/>
            <w:right w:w="0" w:type="dxa"/>
          </w:tblCellMar>
        </w:tblPrEx>
        <w:trPr>
          <w:trHeight w:val="269" w:hRule="atLeast"/>
          <w:jc w:val="center"/>
        </w:trPr>
        <w:tc>
          <w:tcPr>
            <w:tcW w:w="66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605"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2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4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692"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Layout w:type="fixed"/>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rPr>
              <w:t>部门：</w:t>
            </w:r>
            <w:r>
              <w:rPr>
                <w:rFonts w:hint="eastAsia" w:ascii="宋体" w:hAnsi="宋体" w:cs="宋体"/>
                <w:color w:val="000000"/>
                <w:kern w:val="0"/>
                <w:sz w:val="22"/>
                <w:szCs w:val="22"/>
                <w:lang w:eastAsia="zh-CN"/>
              </w:rPr>
              <w:t>大厂回族自治县畜牧兽医局</w:t>
            </w: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Layout w:type="fixed"/>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w:t>
            </w:r>
          </w:p>
        </w:tc>
        <w:tc>
          <w:tcPr>
            <w:tcW w:w="6185"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w:t>
            </w:r>
          </w:p>
        </w:tc>
      </w:tr>
      <w:tr>
        <w:tblPrEx>
          <w:tblLayout w:type="fixed"/>
          <w:tblCellMar>
            <w:top w:w="0" w:type="dxa"/>
            <w:left w:w="0" w:type="dxa"/>
            <w:bottom w:w="0" w:type="dxa"/>
            <w:right w:w="0" w:type="dxa"/>
          </w:tblCellMar>
        </w:tblPrEx>
        <w:trPr>
          <w:trHeight w:val="312" w:hRule="atLeast"/>
          <w:jc w:val="center"/>
        </w:trPr>
        <w:tc>
          <w:tcPr>
            <w:tcW w:w="663"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科目编码</w:t>
            </w:r>
          </w:p>
        </w:tc>
        <w:tc>
          <w:tcPr>
            <w:tcW w:w="160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科目名称</w:t>
            </w:r>
          </w:p>
        </w:tc>
        <w:tc>
          <w:tcPr>
            <w:tcW w:w="72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决算数</w:t>
            </w:r>
          </w:p>
        </w:tc>
        <w:tc>
          <w:tcPr>
            <w:tcW w:w="54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科目编码</w:t>
            </w:r>
          </w:p>
        </w:tc>
        <w:tc>
          <w:tcPr>
            <w:tcW w:w="16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科目名称</w:t>
            </w:r>
          </w:p>
        </w:tc>
        <w:tc>
          <w:tcPr>
            <w:tcW w:w="7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决算数</w:t>
            </w:r>
          </w:p>
        </w:tc>
        <w:tc>
          <w:tcPr>
            <w:tcW w:w="5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科目编码</w:t>
            </w:r>
          </w:p>
        </w:tc>
        <w:tc>
          <w:tcPr>
            <w:tcW w:w="19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科目名称</w:t>
            </w:r>
          </w:p>
        </w:tc>
        <w:tc>
          <w:tcPr>
            <w:tcW w:w="7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决算数</w:t>
            </w:r>
          </w:p>
        </w:tc>
      </w:tr>
      <w:tr>
        <w:tblPrEx>
          <w:tblLayout w:type="fixed"/>
          <w:tblCellMar>
            <w:top w:w="0" w:type="dxa"/>
            <w:left w:w="0" w:type="dxa"/>
            <w:bottom w:w="0" w:type="dxa"/>
            <w:right w:w="0" w:type="dxa"/>
          </w:tblCellMar>
        </w:tblPrEx>
        <w:trPr>
          <w:trHeight w:val="312" w:hRule="atLeast"/>
          <w:jc w:val="center"/>
        </w:trPr>
        <w:tc>
          <w:tcPr>
            <w:tcW w:w="66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60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2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4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6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9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238"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301</w:t>
            </w: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工资福利支出</w:t>
            </w: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778.25</w:t>
            </w: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120.59</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307</w:t>
            </w: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债务利息及费用支出</w:t>
            </w: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238"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30101</w:t>
            </w: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基本工资</w:t>
            </w: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380.08</w:t>
            </w: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30201</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办公费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27.37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30701</w:t>
            </w: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国内债务付息</w:t>
            </w: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238"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30102</w:t>
            </w: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津贴补贴</w:t>
            </w: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186.75</w:t>
            </w: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30202</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印刷费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30702</w:t>
            </w: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国外债务付息</w:t>
            </w: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238"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30103</w:t>
            </w: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奖金</w:t>
            </w: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3.25</w:t>
            </w: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30203</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咨询费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w:t>
            </w: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资本性支出</w:t>
            </w: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238"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30106</w:t>
            </w: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伙食补助费</w:t>
            </w: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30204</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手续费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0.23</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31001</w:t>
            </w: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房屋建筑物购建</w:t>
            </w: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238"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30107</w:t>
            </w: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绩效工资</w:t>
            </w: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31.05</w:t>
            </w: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30205</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水费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0.80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31002</w:t>
            </w: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办公设备购置</w:t>
            </w: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425"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30108</w:t>
            </w: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both"/>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机关事业单位基本养老保险缴费</w:t>
            </w: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107.47</w:t>
            </w: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30206</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31003</w:t>
            </w: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专用设备购置</w:t>
            </w: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238"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30109</w:t>
            </w: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职业年金缴费</w:t>
            </w: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30207</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邮电费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20.77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31005</w:t>
            </w: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基础设施建设</w:t>
            </w: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90"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30110</w:t>
            </w: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职工基本医疗保险缴费</w:t>
            </w: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33.59</w:t>
            </w: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30208</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取暖费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14.65</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31006</w:t>
            </w: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大型修缮</w:t>
            </w: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425"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30111</w:t>
            </w: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公务员医疗补助缴费</w:t>
            </w: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30209</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物业管理费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7.96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31007</w:t>
            </w: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信息网络及软件购置更新</w:t>
            </w: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238"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30112</w:t>
            </w: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其他社会保障缴费</w:t>
            </w: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2.34</w:t>
            </w: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30211</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差旅费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3.78</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31008</w:t>
            </w: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物资储备</w:t>
            </w: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238"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30113</w:t>
            </w: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住房公积金</w:t>
            </w: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33.72</w:t>
            </w: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30212</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因公出国（境）费用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31009</w:t>
            </w: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土地补偿</w:t>
            </w: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238"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30114</w:t>
            </w: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医疗费</w:t>
            </w: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30213</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维修（护）费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8.84</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31010</w:t>
            </w: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安置补助</w:t>
            </w: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425"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30199</w:t>
            </w: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其他工资福利支出</w:t>
            </w: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30214</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租赁费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31011</w:t>
            </w: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地上附着物和青苗补偿</w:t>
            </w: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238"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303</w:t>
            </w: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对个人和家庭的补助</w:t>
            </w: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138.58</w:t>
            </w: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30215</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会议费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31012</w:t>
            </w: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拆迁补偿</w:t>
            </w: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238"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30301</w:t>
            </w: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离休费</w:t>
            </w: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30216</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培训费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0.29</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31013</w:t>
            </w: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公务用车购置</w:t>
            </w: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238"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30302</w:t>
            </w: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退休费</w:t>
            </w: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30217</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公务接待费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0.24</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31019</w:t>
            </w: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其他交通工具购置</w:t>
            </w: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238"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30303</w:t>
            </w: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退职（役）费</w:t>
            </w: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30218</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专用材料费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13.36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31021</w:t>
            </w: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文物和陈列品购置</w:t>
            </w: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238"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30304</w:t>
            </w: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抚恤金</w:t>
            </w: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4.06</w:t>
            </w: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30224</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被装购置费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31022</w:t>
            </w: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无形资产购置</w:t>
            </w: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238"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30305</w:t>
            </w: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生活补助</w:t>
            </w: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6.16</w:t>
            </w: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30225</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专用燃料费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31099</w:t>
            </w: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其他资本性支出</w:t>
            </w: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238"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30306</w:t>
            </w: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救济费</w:t>
            </w: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30226</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劳务费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399</w:t>
            </w: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其他支出</w:t>
            </w: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238"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30307</w:t>
            </w: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医疗费补助</w:t>
            </w: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30227</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委托业务费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39906</w:t>
            </w: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赠与</w:t>
            </w: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238"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30308</w:t>
            </w: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助学金</w:t>
            </w: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30228</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工会经费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3.50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39907</w:t>
            </w: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国家赔偿费用支出</w:t>
            </w: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420"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30309</w:t>
            </w: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奖励金</w:t>
            </w: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124.21</w:t>
            </w: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30229</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福利费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5.66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39908</w:t>
            </w: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对民间非营利组织和群众性自治组织补贴</w:t>
            </w: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425"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30310</w:t>
            </w: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个人农业生产补贴</w:t>
            </w: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30231</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公务用车运行维护费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2.50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39999</w:t>
            </w: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其他支出</w:t>
            </w: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425"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30399</w:t>
            </w: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其他对个人和家庭的补助支出</w:t>
            </w: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4.16</w:t>
            </w: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30239</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其他交通费用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6.66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238"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30240</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税金及附加费用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425" w:hRule="atLeast"/>
          <w:jc w:val="center"/>
        </w:trPr>
        <w:tc>
          <w:tcPr>
            <w:tcW w:w="6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c>
          <w:tcPr>
            <w:tcW w:w="16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p>
        </w:tc>
        <w:tc>
          <w:tcPr>
            <w:tcW w:w="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30299</w:t>
            </w:r>
          </w:p>
        </w:tc>
        <w:tc>
          <w:tcPr>
            <w:tcW w:w="16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其他商品和服务支出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1.01</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c>
          <w:tcPr>
            <w:tcW w:w="19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p>
        </w:tc>
      </w:tr>
      <w:tr>
        <w:tblPrEx>
          <w:tblLayout w:type="fixed"/>
          <w:tblCellMar>
            <w:top w:w="0" w:type="dxa"/>
            <w:left w:w="0" w:type="dxa"/>
            <w:bottom w:w="0" w:type="dxa"/>
            <w:right w:w="0" w:type="dxa"/>
          </w:tblCellMar>
        </w:tblPrEx>
        <w:trPr>
          <w:trHeight w:val="317" w:hRule="atLeast"/>
          <w:jc w:val="center"/>
        </w:trPr>
        <w:tc>
          <w:tcPr>
            <w:tcW w:w="226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人员经费合计</w:t>
            </w:r>
          </w:p>
        </w:tc>
        <w:tc>
          <w:tcPr>
            <w:tcW w:w="7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916.83</w:t>
            </w:r>
          </w:p>
        </w:tc>
        <w:tc>
          <w:tcPr>
            <w:tcW w:w="5468"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公用经费合计</w:t>
            </w:r>
          </w:p>
        </w:tc>
        <w:tc>
          <w:tcPr>
            <w:tcW w:w="7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120.59</w:t>
            </w:r>
          </w:p>
        </w:tc>
      </w:tr>
      <w:tr>
        <w:tblPrEx>
          <w:tblLayout w:type="fixed"/>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1417" w:right="1474" w:bottom="1134" w:left="1588" w:header="851" w:footer="992" w:gutter="0"/>
          <w:cols w:space="0" w:num="1"/>
          <w:docGrid w:type="lines" w:linePitch="312" w:charSpace="0"/>
        </w:sectPr>
      </w:pPr>
    </w:p>
    <w:tbl>
      <w:tblPr>
        <w:tblStyle w:val="13"/>
        <w:tblW w:w="8800" w:type="dxa"/>
        <w:jc w:val="center"/>
        <w:tblInd w:w="0" w:type="dxa"/>
        <w:tblLayout w:type="fixed"/>
        <w:tblCellMar>
          <w:top w:w="0" w:type="dxa"/>
          <w:left w:w="0" w:type="dxa"/>
          <w:bottom w:w="0" w:type="dxa"/>
          <w:right w:w="0" w:type="dxa"/>
        </w:tblCellMar>
      </w:tblPr>
      <w:tblGrid>
        <w:gridCol w:w="1158"/>
        <w:gridCol w:w="1527"/>
        <w:gridCol w:w="1528"/>
        <w:gridCol w:w="1530"/>
        <w:gridCol w:w="1530"/>
        <w:gridCol w:w="1527"/>
      </w:tblGrid>
      <w:tr>
        <w:tblPrEx>
          <w:tblLayout w:type="fixed"/>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Layout w:type="fixed"/>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Layout w:type="fixed"/>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部门：</w:t>
            </w:r>
            <w:r>
              <w:rPr>
                <w:rFonts w:hint="eastAsia" w:ascii="宋体" w:hAnsi="宋体" w:cs="宋体"/>
                <w:color w:val="000000"/>
                <w:kern w:val="0"/>
                <w:sz w:val="20"/>
                <w:szCs w:val="20"/>
                <w:lang w:eastAsia="zh-CN"/>
              </w:rPr>
              <w:t>大厂回族自治县畜牧兽医局</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Layout w:type="fixed"/>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16.35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14.50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14.50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1.85</w:t>
            </w:r>
          </w:p>
        </w:tc>
      </w:tr>
      <w:tr>
        <w:tblPrEx>
          <w:tblLayout w:type="fixed"/>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Layout w:type="fixed"/>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10.35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9.01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9.01</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1.34</w:t>
            </w:r>
          </w:p>
        </w:tc>
      </w:tr>
      <w:tr>
        <w:tblPrEx>
          <w:tblLayout w:type="fixed"/>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Layout w:type="fixed"/>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Layout w:type="fixed"/>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Layout w:type="fixed"/>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rPr>
              <w:t>部门：</w:t>
            </w:r>
            <w:r>
              <w:rPr>
                <w:rFonts w:hint="eastAsia" w:ascii="宋体" w:hAnsi="宋体" w:cs="宋体"/>
                <w:color w:val="000000"/>
                <w:kern w:val="0"/>
                <w:szCs w:val="21"/>
                <w:lang w:eastAsia="zh-CN"/>
              </w:rPr>
              <w:t>大厂回族自治县畜牧兽医局</w:t>
            </w: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Layout w:type="fixed"/>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注：</w:t>
            </w:r>
            <w:r>
              <w:rPr>
                <w:rFonts w:hint="eastAsia" w:ascii="宋体" w:hAnsi="宋体" w:cs="宋体"/>
                <w:color w:val="000000"/>
                <w:kern w:val="0"/>
                <w:szCs w:val="21"/>
                <w:lang w:val="en-US" w:eastAsia="zh-CN"/>
              </w:rPr>
              <w:t>本部门本年度无政府性基金预算财政拨款收入支出情况，按要求空表列示。</w:t>
            </w:r>
            <w:r>
              <w:rPr>
                <w:rFonts w:hint="eastAsia" w:ascii="宋体" w:hAnsi="宋体" w:cs="宋体"/>
                <w:color w:val="000000"/>
                <w:kern w:val="0"/>
                <w:szCs w:val="21"/>
              </w:rPr>
              <w:t xml:space="preserve">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Layout w:type="fixed"/>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Layout w:type="fixed"/>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Layout w:type="fixed"/>
          <w:tblCellMar>
            <w:top w:w="0" w:type="dxa"/>
            <w:left w:w="0" w:type="dxa"/>
            <w:bottom w:w="0" w:type="dxa"/>
            <w:right w:w="0" w:type="dxa"/>
          </w:tblCellMar>
        </w:tblPrEx>
        <w:trPr>
          <w:trHeight w:val="335" w:hRule="atLeast"/>
        </w:trPr>
        <w:tc>
          <w:tcPr>
            <w:tcW w:w="5362"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r>
              <w:rPr>
                <w:rFonts w:hint="eastAsia" w:ascii="宋体" w:hAnsi="宋体" w:cs="宋体"/>
                <w:color w:val="000000"/>
                <w:kern w:val="0"/>
                <w:sz w:val="22"/>
                <w:szCs w:val="22"/>
              </w:rPr>
              <w:t>编制单位：</w:t>
            </w:r>
            <w:r>
              <w:rPr>
                <w:rFonts w:hint="eastAsia" w:ascii="宋体" w:hAnsi="宋体" w:cs="宋体"/>
                <w:color w:val="000000"/>
                <w:kern w:val="0"/>
                <w:szCs w:val="21"/>
                <w:lang w:eastAsia="zh-CN"/>
              </w:rPr>
              <w:t>大厂回族自治县畜牧兽医局</w:t>
            </w: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Layout w:type="fixed"/>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Layout w:type="fixed"/>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注：</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Cs w:val="21"/>
                <w:lang w:val="en-US" w:eastAsia="zh-CN"/>
              </w:rPr>
              <w:t>本部门本年度无国有资本经营预算财政拨款支出情况，按要求空表列示。</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Layout w:type="fixed"/>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Layout w:type="fixed"/>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Layout w:type="fixed"/>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编制单位：</w:t>
            </w:r>
            <w:r>
              <w:rPr>
                <w:rFonts w:hint="eastAsia" w:ascii="宋体" w:hAnsi="宋体" w:cs="宋体"/>
                <w:color w:val="000000"/>
                <w:kern w:val="0"/>
                <w:szCs w:val="21"/>
                <w:lang w:eastAsia="zh-CN"/>
              </w:rPr>
              <w:t>大厂回族自治县畜牧兽医局</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采购计划金额</w:t>
            </w:r>
          </w:p>
        </w:tc>
      </w:tr>
      <w:tr>
        <w:tblPrEx>
          <w:tblLayout w:type="fixed"/>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Layout w:type="fixed"/>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实际采购金额</w:t>
            </w:r>
          </w:p>
        </w:tc>
      </w:tr>
      <w:tr>
        <w:tblPrEx>
          <w:tblLayout w:type="fixed"/>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Layout w:type="fixed"/>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 </w:t>
            </w:r>
            <w:r>
              <w:rPr>
                <w:rFonts w:hint="eastAsia" w:ascii="宋体" w:hAnsi="宋体" w:cs="宋体"/>
                <w:color w:val="000000"/>
                <w:kern w:val="0"/>
                <w:szCs w:val="21"/>
                <w:lang w:val="en-US" w:eastAsia="zh-CN"/>
              </w:rPr>
              <w:t>本部门本年度无</w:t>
            </w:r>
            <w:r>
              <w:rPr>
                <w:rFonts w:hint="eastAsia" w:ascii="宋体" w:hAnsi="宋体" w:cs="宋体"/>
                <w:color w:val="000000"/>
                <w:kern w:val="0"/>
                <w:szCs w:val="21"/>
              </w:rPr>
              <w:t>政府采购预算及支出</w:t>
            </w:r>
            <w:r>
              <w:rPr>
                <w:rFonts w:hint="eastAsia" w:ascii="宋体" w:hAnsi="宋体" w:cs="宋体"/>
                <w:color w:val="000000"/>
                <w:kern w:val="0"/>
                <w:szCs w:val="21"/>
                <w:lang w:val="en-US" w:eastAsia="zh-CN"/>
              </w:rPr>
              <w:t>情况，按要求空表列示。</w:t>
            </w:r>
            <w:r>
              <w:rPr>
                <w:rFonts w:hint="eastAsia" w:ascii="宋体" w:hAnsi="宋体" w:cs="宋体"/>
                <w:color w:val="000000"/>
                <w:kern w:val="0"/>
                <w:szCs w:val="21"/>
              </w:rPr>
              <w:t xml:space="preserve">   </w:t>
            </w:r>
          </w:p>
        </w:tc>
      </w:tr>
    </w:tbl>
    <w:p>
      <w:pPr>
        <w:widowControl/>
        <w:spacing w:after="0" w:line="560" w:lineRule="exact"/>
        <w:jc w:val="left"/>
        <w:rPr>
          <w:rFonts w:ascii="仿宋_GB2312" w:eastAsia="仿宋_GB2312" w:hAnsiTheme="majorEastAsia"/>
          <w:b/>
          <w:sz w:val="28"/>
          <w:szCs w:val="28"/>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本部门2018年度收</w:t>
      </w:r>
      <w:r>
        <w:rPr>
          <w:rFonts w:hint="eastAsia" w:ascii="仿宋_GB2312" w:eastAsia="仿宋_GB2312" w:cs="DengXian-Regular"/>
          <w:sz w:val="32"/>
          <w:szCs w:val="32"/>
          <w:lang w:eastAsia="zh-CN"/>
        </w:rPr>
        <w:t>入</w:t>
      </w:r>
      <w:r>
        <w:rPr>
          <w:rFonts w:hint="eastAsia" w:ascii="仿宋_GB2312" w:eastAsia="仿宋_GB2312" w:cs="DengXian-Regular"/>
          <w:sz w:val="32"/>
          <w:szCs w:val="32"/>
        </w:rPr>
        <w:t>总计（含结转和结余）</w:t>
      </w:r>
      <w:r>
        <w:rPr>
          <w:rFonts w:hint="eastAsia" w:ascii="仿宋_GB2312" w:eastAsia="仿宋_GB2312" w:cs="DengXian-Regular"/>
          <w:sz w:val="32"/>
          <w:szCs w:val="32"/>
          <w:lang w:val="en-US" w:eastAsia="zh-CN"/>
        </w:rPr>
        <w:t>1316.82</w:t>
      </w:r>
      <w:r>
        <w:rPr>
          <w:rFonts w:hint="eastAsia" w:ascii="仿宋_GB2312" w:eastAsia="仿宋_GB2312" w:cs="DengXian-Regular"/>
          <w:sz w:val="32"/>
          <w:szCs w:val="32"/>
        </w:rPr>
        <w:t>万元。与2017年度决算相比，</w:t>
      </w:r>
      <w:r>
        <w:rPr>
          <w:rFonts w:hint="eastAsia" w:ascii="仿宋_GB2312" w:eastAsia="仿宋_GB2312" w:cs="DengXian-Regular"/>
          <w:sz w:val="32"/>
          <w:szCs w:val="32"/>
          <w:lang w:eastAsia="zh-CN"/>
        </w:rPr>
        <w:t>收入</w:t>
      </w:r>
      <w:r>
        <w:rPr>
          <w:rFonts w:hint="eastAsia" w:ascii="仿宋_GB2312" w:eastAsia="仿宋_GB2312" w:cs="DengXian-Regular"/>
          <w:sz w:val="32"/>
          <w:szCs w:val="32"/>
        </w:rPr>
        <w:t>减少</w:t>
      </w:r>
      <w:r>
        <w:rPr>
          <w:rFonts w:hint="eastAsia" w:ascii="仿宋_GB2312" w:eastAsia="仿宋_GB2312" w:cs="DengXian-Regular"/>
          <w:sz w:val="32"/>
          <w:szCs w:val="32"/>
          <w:lang w:val="en-US" w:eastAsia="zh-CN"/>
        </w:rPr>
        <w:t>83.69</w:t>
      </w:r>
      <w:r>
        <w:rPr>
          <w:rFonts w:hint="eastAsia" w:ascii="仿宋_GB2312" w:eastAsia="仿宋_GB2312" w:cs="DengXian-Regular"/>
          <w:sz w:val="32"/>
          <w:szCs w:val="32"/>
        </w:rPr>
        <w:t>万元，下降</w:t>
      </w:r>
      <w:r>
        <w:rPr>
          <w:rFonts w:hint="eastAsia" w:ascii="仿宋_GB2312" w:eastAsia="仿宋_GB2312" w:cs="DengXian-Regular"/>
          <w:sz w:val="32"/>
          <w:szCs w:val="32"/>
          <w:lang w:val="en-US" w:eastAsia="zh-CN"/>
        </w:rPr>
        <w:t>6.03</w:t>
      </w:r>
      <w:r>
        <w:rPr>
          <w:rFonts w:hint="eastAsia" w:ascii="仿宋_GB2312" w:eastAsia="仿宋_GB2312" w:cs="DengXian-Regular"/>
          <w:sz w:val="32"/>
          <w:szCs w:val="32"/>
        </w:rPr>
        <w:t>%，主要</w:t>
      </w:r>
      <w:r>
        <w:rPr>
          <w:rFonts w:hint="eastAsia" w:ascii="仿宋_GB2312" w:eastAsia="仿宋_GB2312" w:cs="DengXian-Regular"/>
          <w:sz w:val="32"/>
          <w:szCs w:val="32"/>
          <w:lang w:eastAsia="zh-CN"/>
        </w:rPr>
        <w:t>是上级补助收入减少</w:t>
      </w:r>
      <w:r>
        <w:rPr>
          <w:rFonts w:hint="eastAsia" w:ascii="仿宋_GB2312" w:eastAsia="仿宋_GB2312" w:cs="DengXian-Regular"/>
          <w:sz w:val="32"/>
          <w:szCs w:val="32"/>
        </w:rPr>
        <w:t>。</w:t>
      </w:r>
      <w:r>
        <w:rPr>
          <w:rFonts w:hint="eastAsia" w:ascii="仿宋_GB2312" w:eastAsia="仿宋_GB2312" w:cs="DengXian-Regular"/>
          <w:sz w:val="32"/>
          <w:szCs w:val="32"/>
          <w:lang w:eastAsia="zh-CN"/>
        </w:rPr>
        <w:t>支出总计</w:t>
      </w:r>
      <w:r>
        <w:rPr>
          <w:rFonts w:hint="eastAsia" w:ascii="仿宋_GB2312" w:eastAsia="仿宋_GB2312" w:cs="DengXian-Regular"/>
          <w:sz w:val="32"/>
          <w:szCs w:val="32"/>
          <w:lang w:val="en-US" w:eastAsia="zh-CN"/>
        </w:rPr>
        <w:t>1234.32万元，支出增加18.83万元，</w:t>
      </w:r>
      <w:r>
        <w:rPr>
          <w:rFonts w:hint="eastAsia" w:ascii="仿宋_GB2312" w:eastAsia="仿宋_GB2312" w:cs="DengXian-Regular"/>
          <w:sz w:val="32"/>
          <w:szCs w:val="32"/>
          <w:lang w:eastAsia="zh-CN"/>
        </w:rPr>
        <w:t>增加</w:t>
      </w:r>
      <w:r>
        <w:rPr>
          <w:rFonts w:hint="eastAsia" w:ascii="仿宋_GB2312" w:eastAsia="仿宋_GB2312" w:cs="DengXian-Regular"/>
          <w:sz w:val="32"/>
          <w:szCs w:val="32"/>
          <w:lang w:val="en-US" w:eastAsia="zh-CN"/>
        </w:rPr>
        <w:t>1.5</w:t>
      </w:r>
      <w:r>
        <w:rPr>
          <w:rFonts w:hint="eastAsia" w:ascii="仿宋_GB2312" w:eastAsia="仿宋_GB2312" w:cs="DengXian-Regular"/>
          <w:sz w:val="32"/>
          <w:szCs w:val="32"/>
        </w:rPr>
        <w:t>%</w:t>
      </w:r>
      <w:r>
        <w:rPr>
          <w:rFonts w:hint="eastAsia" w:ascii="仿宋_GB2312" w:eastAsia="仿宋_GB2312" w:cs="DengXian-Regular"/>
          <w:sz w:val="32"/>
          <w:szCs w:val="32"/>
          <w:lang w:eastAsia="zh-CN"/>
        </w:rPr>
        <w:t>，主要是上年结转的上级补助支出。</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1167.8</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1166.8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99.9</w:t>
      </w:r>
      <w:r>
        <w:rPr>
          <w:rFonts w:hint="eastAsia" w:ascii="仿宋_GB2312" w:eastAsia="仿宋_GB2312" w:cs="DengXian-Regular"/>
          <w:sz w:val="32"/>
          <w:szCs w:val="32"/>
        </w:rPr>
        <w:t>%；</w:t>
      </w:r>
      <w:r>
        <w:rPr>
          <w:rFonts w:hint="eastAsia" w:ascii="仿宋_GB2312" w:eastAsia="仿宋_GB2312" w:cs="DengXian-Regular"/>
          <w:sz w:val="32"/>
          <w:szCs w:val="32"/>
          <w:lang w:eastAsia="zh-CN"/>
        </w:rPr>
        <w:t>上级补助</w:t>
      </w:r>
      <w:r>
        <w:rPr>
          <w:rFonts w:hint="eastAsia" w:ascii="仿宋_GB2312" w:eastAsia="仿宋_GB2312" w:cs="DengXian-Regular"/>
          <w:sz w:val="32"/>
          <w:szCs w:val="32"/>
        </w:rPr>
        <w:t>收入</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0.1</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rPr>
          <w:rFonts w:hint="eastAsia" w:ascii="黑体" w:eastAsia="黑体" w:hAnsiTheme="majorHAnsi" w:cstheme="majorBidi"/>
          <w:sz w:val="32"/>
          <w:szCs w:val="32"/>
          <w:lang w:eastAsia="zh-CN"/>
        </w:rPr>
      </w:pPr>
      <w:r>
        <w:rPr>
          <w:rFonts w:hint="eastAsia" w:ascii="黑体" w:eastAsia="黑体" w:hAnsiTheme="majorHAnsi" w:cstheme="majorBidi"/>
          <w:sz w:val="32"/>
          <w:szCs w:val="32"/>
          <w:lang w:eastAsia="zh-CN"/>
        </w:rPr>
        <w:drawing>
          <wp:anchor distT="0" distB="0" distL="114300" distR="114300" simplePos="0" relativeHeight="251659264" behindDoc="1" locked="0" layoutInCell="1" allowOverlap="1">
            <wp:simplePos x="0" y="0"/>
            <wp:positionH relativeFrom="column">
              <wp:posOffset>-33655</wp:posOffset>
            </wp:positionH>
            <wp:positionV relativeFrom="paragraph">
              <wp:posOffset>106045</wp:posOffset>
            </wp:positionV>
            <wp:extent cx="4870450" cy="3067050"/>
            <wp:effectExtent l="4445" t="5080" r="20955" b="13970"/>
            <wp:wrapTight wrapText="bothSides">
              <wp:wrapPolygon>
                <wp:start x="-20" y="-36"/>
                <wp:lineTo x="-20" y="21564"/>
                <wp:lineTo x="21524" y="21564"/>
                <wp:lineTo x="21524" y="-36"/>
                <wp:lineTo x="-20" y="-36"/>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eastAsia="仿宋_GB2312" w:cs="DengXian-Regular"/>
          <w:sz w:val="32"/>
          <w:szCs w:val="32"/>
          <w:lang w:val="en-US" w:eastAsia="zh-CN"/>
        </w:rPr>
        <w:t>1234.32</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1037.42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84.05</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196.89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15.95</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after="0" w:line="580" w:lineRule="exact"/>
        <w:jc w:val="center"/>
        <w:rPr>
          <w:rFonts w:eastAsia="仿宋_GB2312"/>
          <w:sz w:val="32"/>
          <w:szCs w:val="32"/>
        </w:rPr>
      </w:pPr>
      <w:r>
        <w:rPr>
          <w:rFonts w:eastAsia="仿宋_GB2312"/>
          <w:sz w:val="32"/>
          <w:szCs w:val="32"/>
        </w:rPr>
        <w:t>图2：支出决算结构饼状图</w:t>
      </w:r>
    </w:p>
    <w:p>
      <w:pPr>
        <w:adjustRightInd w:val="0"/>
        <w:snapToGrid w:val="0"/>
        <w:spacing w:after="0" w:line="580" w:lineRule="exact"/>
        <w:jc w:val="center"/>
        <w:rPr>
          <w:rFonts w:eastAsia="仿宋_GB2312"/>
          <w:sz w:val="32"/>
          <w:szCs w:val="32"/>
        </w:rPr>
      </w:pPr>
      <w:r>
        <w:rPr>
          <w:rFonts w:hint="eastAsia" w:ascii="黑体" w:eastAsia="黑体" w:hAnsiTheme="majorHAnsi" w:cstheme="majorBidi"/>
          <w:sz w:val="32"/>
          <w:szCs w:val="32"/>
          <w:lang w:eastAsia="zh-CN"/>
        </w:rPr>
        <w:drawing>
          <wp:anchor distT="0" distB="0" distL="114300" distR="114300" simplePos="0" relativeHeight="251658240" behindDoc="1" locked="0" layoutInCell="1" allowOverlap="1">
            <wp:simplePos x="0" y="0"/>
            <wp:positionH relativeFrom="column">
              <wp:posOffset>688340</wp:posOffset>
            </wp:positionH>
            <wp:positionV relativeFrom="paragraph">
              <wp:posOffset>57785</wp:posOffset>
            </wp:positionV>
            <wp:extent cx="4128135" cy="2781300"/>
            <wp:effectExtent l="4445" t="4445" r="20320" b="1460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w:t>
      </w:r>
      <w:r>
        <w:rPr>
          <w:rFonts w:hint="eastAsia" w:ascii="仿宋_GB2312" w:eastAsia="仿宋_GB2312" w:cs="DengXian-Regular"/>
          <w:sz w:val="32"/>
          <w:szCs w:val="32"/>
          <w:lang w:val="en-US" w:eastAsia="zh-CN"/>
        </w:rPr>
        <w:t>1166.8</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4.24</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0.4</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人员经费</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1234.32</w:t>
      </w:r>
      <w:r>
        <w:rPr>
          <w:rFonts w:hint="eastAsia" w:ascii="仿宋_GB2312" w:eastAsia="仿宋_GB2312" w:cs="DengXian-Regular"/>
          <w:sz w:val="32"/>
          <w:szCs w:val="32"/>
        </w:rPr>
        <w:t>万元，增加</w:t>
      </w:r>
      <w:r>
        <w:rPr>
          <w:rFonts w:hint="eastAsia" w:ascii="仿宋_GB2312" w:eastAsia="仿宋_GB2312" w:cs="DengXian-Regular"/>
          <w:sz w:val="32"/>
          <w:szCs w:val="32"/>
          <w:lang w:val="en-US" w:eastAsia="zh-CN"/>
        </w:rPr>
        <w:t>18.83</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1.5</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上年结转的上级补助支出</w:t>
      </w:r>
      <w:r>
        <w:rPr>
          <w:rFonts w:hint="eastAsia" w:ascii="仿宋_GB2312" w:eastAsia="仿宋_GB2312" w:cs="DengXian-Regular"/>
          <w:sz w:val="32"/>
          <w:szCs w:val="32"/>
        </w:rPr>
        <w:t>。</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图3：财政拨款收支情况</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rPr>
          <w:rFonts w:hint="eastAsia" w:ascii="仿宋_GB2312" w:eastAsia="仿宋_GB2312" w:cs="DengXian-Regular"/>
          <w:sz w:val="32"/>
          <w:szCs w:val="32"/>
          <w:lang w:eastAsia="zh-CN"/>
        </w:rPr>
      </w:pPr>
    </w:p>
    <w:p>
      <w:pPr>
        <w:adjustRightInd w:val="0"/>
        <w:snapToGrid w:val="0"/>
        <w:spacing w:after="0" w:line="580" w:lineRule="exact"/>
        <w:rPr>
          <w:rFonts w:hint="eastAsia" w:ascii="仿宋_GB2312" w:eastAsia="仿宋_GB2312" w:cs="DengXian-Regular"/>
          <w:sz w:val="32"/>
          <w:szCs w:val="32"/>
          <w:lang w:eastAsia="zh-CN"/>
        </w:rPr>
      </w:pPr>
      <w:r>
        <w:rPr>
          <w:rFonts w:hint="eastAsia" w:eastAsiaTheme="minorEastAsia"/>
          <w:lang w:eastAsia="zh-CN"/>
        </w:rPr>
        <w:drawing>
          <wp:anchor distT="0" distB="0" distL="114300" distR="114300" simplePos="0" relativeHeight="251660288" behindDoc="0" locked="0" layoutInCell="1" allowOverlap="1">
            <wp:simplePos x="0" y="0"/>
            <wp:positionH relativeFrom="column">
              <wp:posOffset>442595</wp:posOffset>
            </wp:positionH>
            <wp:positionV relativeFrom="paragraph">
              <wp:posOffset>83185</wp:posOffset>
            </wp:positionV>
            <wp:extent cx="4928235" cy="3637915"/>
            <wp:effectExtent l="4445" t="4445" r="20320" b="15240"/>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本部门2018年度一般公共预算财政拨款收入</w:t>
      </w:r>
      <w:r>
        <w:rPr>
          <w:rFonts w:hint="eastAsia" w:ascii="仿宋_GB2312" w:eastAsia="仿宋_GB2312" w:cs="DengXian-Regular"/>
          <w:sz w:val="32"/>
          <w:szCs w:val="32"/>
          <w:lang w:val="en-US" w:eastAsia="zh-CN"/>
        </w:rPr>
        <w:t>1166.8</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104.5</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50.43</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人员经费、公用经费和项目经费增加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1037.42</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104.8</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48.04</w:t>
      </w:r>
      <w:r>
        <w:rPr>
          <w:rFonts w:hint="eastAsia" w:ascii="仿宋_GB2312" w:eastAsia="仿宋_GB2312" w:cs="DengXian-Regular"/>
          <w:sz w:val="32"/>
          <w:szCs w:val="32"/>
        </w:rPr>
        <w:t>万元，决算数大于预算数主要是是</w:t>
      </w:r>
      <w:r>
        <w:rPr>
          <w:rFonts w:hint="eastAsia" w:ascii="仿宋_GB2312" w:eastAsia="仿宋_GB2312" w:cs="DengXian-Regular"/>
          <w:sz w:val="32"/>
          <w:szCs w:val="32"/>
          <w:lang w:eastAsia="zh-CN"/>
        </w:rPr>
        <w:t>人员经费、公用经费和项目经费增加</w:t>
      </w:r>
      <w:r>
        <w:rPr>
          <w:rFonts w:hint="eastAsia" w:ascii="仿宋_GB2312" w:eastAsia="仿宋_GB2312" w:cs="DengXian-Regular"/>
          <w:sz w:val="32"/>
          <w:szCs w:val="32"/>
        </w:rPr>
        <w:t>。</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图4：财政拨款收支预决算对比情况</w: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420" w:firstLineChars="200"/>
        <w:rPr>
          <w:rFonts w:ascii="仿宋_GB2312" w:eastAsia="仿宋_GB2312" w:cs="DengXian-Regular"/>
          <w:sz w:val="32"/>
          <w:szCs w:val="32"/>
          <w:highlight w:val="yellow"/>
        </w:rPr>
      </w:pPr>
      <w:r>
        <w:rPr>
          <w:rFonts w:hint="eastAsia" w:eastAsiaTheme="minorEastAsia"/>
          <w:lang w:eastAsia="zh-CN"/>
        </w:rPr>
        <w:drawing>
          <wp:anchor distT="0" distB="0" distL="114300" distR="114300" simplePos="0" relativeHeight="251663360" behindDoc="0" locked="0" layoutInCell="1" allowOverlap="1">
            <wp:simplePos x="0" y="0"/>
            <wp:positionH relativeFrom="column">
              <wp:posOffset>281940</wp:posOffset>
            </wp:positionH>
            <wp:positionV relativeFrom="paragraph">
              <wp:posOffset>196215</wp:posOffset>
            </wp:positionV>
            <wp:extent cx="4928235" cy="3637915"/>
            <wp:effectExtent l="4445" t="4445" r="20320" b="15240"/>
            <wp:wrapTopAndBottom/>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numPr>
          <w:ilvl w:val="0"/>
          <w:numId w:val="2"/>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1202.67</w:t>
      </w:r>
      <w:r>
        <w:rPr>
          <w:rFonts w:hint="eastAsia" w:ascii="仿宋_GB2312" w:eastAsia="仿宋_GB2312" w:cs="DengXian-Regular"/>
          <w:sz w:val="32"/>
          <w:szCs w:val="32"/>
        </w:rPr>
        <w:t>万元，主要用于以下方面社会保障和就业（类）支出56.16万元，占</w:t>
      </w:r>
      <w:r>
        <w:rPr>
          <w:rFonts w:hint="eastAsia" w:ascii="仿宋_GB2312" w:eastAsia="仿宋_GB2312" w:cs="DengXian-Regular"/>
          <w:sz w:val="32"/>
          <w:szCs w:val="32"/>
          <w:lang w:val="en-US" w:eastAsia="zh-CN"/>
        </w:rPr>
        <w:t>4.67</w:t>
      </w:r>
      <w:r>
        <w:rPr>
          <w:rFonts w:hint="eastAsia" w:ascii="仿宋_GB2312" w:eastAsia="仿宋_GB2312" w:cs="DengXian-Regular"/>
          <w:sz w:val="32"/>
          <w:szCs w:val="32"/>
        </w:rPr>
        <w:t>%；医疗卫生与计划生育支出</w:t>
      </w:r>
      <w:r>
        <w:rPr>
          <w:rFonts w:hint="eastAsia" w:ascii="仿宋_GB2312" w:eastAsia="仿宋_GB2312" w:cs="DengXian-Regular"/>
          <w:sz w:val="32"/>
          <w:szCs w:val="32"/>
          <w:lang w:val="en-US" w:eastAsia="zh-CN"/>
        </w:rPr>
        <w:t>20.23万元，</w:t>
      </w:r>
      <w:r>
        <w:rPr>
          <w:rFonts w:hint="eastAsia" w:ascii="仿宋_GB2312" w:eastAsia="仿宋_GB2312" w:cs="DengXian-Regular"/>
          <w:sz w:val="32"/>
          <w:szCs w:val="32"/>
        </w:rPr>
        <w:t>占</w:t>
      </w:r>
      <w:r>
        <w:rPr>
          <w:rFonts w:hint="eastAsia" w:ascii="仿宋_GB2312" w:eastAsia="仿宋_GB2312" w:cs="DengXian-Regular"/>
          <w:sz w:val="32"/>
          <w:szCs w:val="32"/>
          <w:lang w:val="en-US" w:eastAsia="zh-CN"/>
        </w:rPr>
        <w:t>1.68</w:t>
      </w:r>
      <w:r>
        <w:rPr>
          <w:rFonts w:hint="eastAsia" w:ascii="仿宋_GB2312" w:eastAsia="仿宋_GB2312" w:cs="DengXian-Regular"/>
          <w:sz w:val="32"/>
          <w:szCs w:val="32"/>
        </w:rPr>
        <w:t>%；农林水支出</w:t>
      </w:r>
      <w:r>
        <w:rPr>
          <w:rFonts w:hint="eastAsia" w:ascii="仿宋_GB2312" w:eastAsia="仿宋_GB2312" w:cs="DengXian-Regular"/>
          <w:sz w:val="32"/>
          <w:szCs w:val="32"/>
          <w:lang w:val="en-US" w:eastAsia="zh-CN"/>
        </w:rPr>
        <w:t>1092.57万元，</w:t>
      </w:r>
      <w:r>
        <w:rPr>
          <w:rFonts w:hint="eastAsia" w:ascii="仿宋_GB2312" w:eastAsia="仿宋_GB2312" w:cs="DengXian-Regular"/>
          <w:sz w:val="32"/>
          <w:szCs w:val="32"/>
        </w:rPr>
        <w:t>占</w:t>
      </w:r>
      <w:r>
        <w:rPr>
          <w:rFonts w:hint="eastAsia" w:ascii="仿宋_GB2312" w:eastAsia="仿宋_GB2312" w:cs="DengXian-Regular"/>
          <w:sz w:val="32"/>
          <w:szCs w:val="32"/>
          <w:lang w:val="en-US" w:eastAsia="zh-CN"/>
        </w:rPr>
        <w:t>90.85</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33.72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2.8</w:t>
      </w:r>
      <w:r>
        <w:rPr>
          <w:rFonts w:hint="eastAsia" w:ascii="仿宋_GB2312" w:eastAsia="仿宋_GB2312" w:cs="DengXian-Regular"/>
          <w:sz w:val="32"/>
          <w:szCs w:val="32"/>
        </w:rPr>
        <w:t>%。</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图5：财政拨款支出决算结构（按功能分类）</w:t>
      </w:r>
    </w:p>
    <w:p>
      <w:pPr>
        <w:adjustRightInd w:val="0"/>
        <w:snapToGrid w:val="0"/>
        <w:spacing w:after="0" w:line="580" w:lineRule="exact"/>
        <w:rPr>
          <w:rFonts w:hint="eastAsia" w:ascii="楷体_GB2312" w:eastAsia="楷体_GB2312" w:cs="DengXian-Bold"/>
          <w:b/>
          <w:bCs/>
          <w:sz w:val="32"/>
          <w:szCs w:val="32"/>
          <w:lang w:eastAsia="zh-CN"/>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r>
        <w:rPr>
          <w:rFonts w:hint="eastAsia" w:ascii="楷体_GB2312" w:eastAsia="楷体_GB2312" w:cs="DengXian-Bold"/>
          <w:b/>
          <w:bCs/>
          <w:sz w:val="32"/>
          <w:szCs w:val="32"/>
          <w:lang w:eastAsia="zh-CN"/>
        </w:rPr>
        <w:drawing>
          <wp:anchor distT="0" distB="0" distL="114300" distR="114300" simplePos="0" relativeHeight="251664384" behindDoc="0" locked="0" layoutInCell="1" allowOverlap="1">
            <wp:simplePos x="0" y="0"/>
            <wp:positionH relativeFrom="column">
              <wp:posOffset>271145</wp:posOffset>
            </wp:positionH>
            <wp:positionV relativeFrom="paragraph">
              <wp:posOffset>224790</wp:posOffset>
            </wp:positionV>
            <wp:extent cx="5080000" cy="3810000"/>
            <wp:effectExtent l="4445" t="4445" r="20955" b="14605"/>
            <wp:wrapTopAndBottom/>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1037.42</w:t>
      </w:r>
      <w:r>
        <w:rPr>
          <w:rFonts w:hint="eastAsia" w:ascii="仿宋_GB2312" w:eastAsia="仿宋_GB2312" w:cs="DengXian-Regular"/>
          <w:sz w:val="32"/>
          <w:szCs w:val="32"/>
        </w:rPr>
        <w:t xml:space="preserve">万元，其中：人员经费 </w:t>
      </w:r>
      <w:r>
        <w:rPr>
          <w:rFonts w:hint="eastAsia" w:ascii="仿宋_GB2312" w:eastAsia="仿宋_GB2312" w:cs="DengXian-Regular"/>
          <w:sz w:val="32"/>
          <w:szCs w:val="32"/>
          <w:lang w:val="en-US" w:eastAsia="zh-CN"/>
        </w:rPr>
        <w:t>916.83</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120.59</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10.35</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6</w:t>
      </w:r>
      <w:r>
        <w:rPr>
          <w:rFonts w:eastAsia="仿宋_GB2312"/>
          <w:sz w:val="32"/>
          <w:szCs w:val="32"/>
        </w:rPr>
        <w:t>万元，降低</w:t>
      </w:r>
      <w:r>
        <w:rPr>
          <w:rFonts w:hint="eastAsia" w:eastAsia="仿宋_GB2312"/>
          <w:sz w:val="32"/>
          <w:szCs w:val="32"/>
          <w:lang w:val="en-US" w:eastAsia="zh-CN"/>
        </w:rPr>
        <w:t>36.7</w:t>
      </w:r>
      <w:r>
        <w:rPr>
          <w:rFonts w:eastAsia="仿宋_GB2312"/>
          <w:sz w:val="32"/>
          <w:szCs w:val="32"/>
        </w:rPr>
        <w:t>%，主要是</w:t>
      </w:r>
      <w:r>
        <w:rPr>
          <w:rFonts w:hint="eastAsia" w:eastAsia="仿宋_GB2312"/>
          <w:sz w:val="32"/>
          <w:szCs w:val="32"/>
          <w:lang w:eastAsia="zh-CN"/>
        </w:rPr>
        <w:t>节约开支，减少公车使用和公务接待次数</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0.06</w:t>
      </w:r>
      <w:r>
        <w:rPr>
          <w:rFonts w:eastAsia="仿宋_GB2312"/>
          <w:sz w:val="32"/>
          <w:szCs w:val="32"/>
        </w:rPr>
        <w:t>万元，降低</w:t>
      </w:r>
      <w:r>
        <w:rPr>
          <w:rFonts w:hint="eastAsia" w:eastAsia="仿宋_GB2312"/>
          <w:sz w:val="32"/>
          <w:szCs w:val="32"/>
          <w:lang w:val="en-US" w:eastAsia="zh-CN"/>
        </w:rPr>
        <w:t>0.5</w:t>
      </w:r>
      <w:r>
        <w:rPr>
          <w:rFonts w:eastAsia="仿宋_GB2312"/>
          <w:sz w:val="32"/>
          <w:szCs w:val="32"/>
        </w:rPr>
        <w:t>%，主要是</w:t>
      </w:r>
      <w:r>
        <w:rPr>
          <w:rFonts w:hint="eastAsia" w:eastAsia="仿宋_GB2312"/>
          <w:sz w:val="32"/>
          <w:szCs w:val="32"/>
          <w:lang w:eastAsia="zh-CN"/>
        </w:rPr>
        <w:t>节约开支，减少公车使用和公务接待次数</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w:t>
      </w:r>
      <w:r>
        <w:rPr>
          <w:rFonts w:hint="eastAsia" w:eastAsia="仿宋_GB2312"/>
          <w:sz w:val="32"/>
          <w:szCs w:val="32"/>
          <w:lang w:val="en-US" w:eastAsia="zh-CN"/>
        </w:rPr>
        <w:t>0</w:t>
      </w:r>
      <w:r>
        <w:rPr>
          <w:rFonts w:eastAsia="仿宋_GB2312"/>
          <w:sz w:val="32"/>
          <w:szCs w:val="32"/>
        </w:rPr>
        <w:t>万元。</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9.01</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减少</w:t>
      </w:r>
      <w:r>
        <w:rPr>
          <w:rFonts w:hint="eastAsia" w:eastAsia="仿宋_GB2312"/>
          <w:sz w:val="32"/>
          <w:szCs w:val="32"/>
          <w:lang w:val="en-US" w:eastAsia="zh-CN"/>
        </w:rPr>
        <w:t>5.49</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lang w:val="en-US" w:eastAsia="zh-CN"/>
        </w:rPr>
        <w:t>37.86</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节约开支，减少公车使用</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0.37</w:t>
      </w:r>
      <w:r>
        <w:rPr>
          <w:rFonts w:eastAsia="仿宋_GB2312"/>
          <w:sz w:val="32"/>
          <w:szCs w:val="32"/>
        </w:rPr>
        <w:t>万元，降低</w:t>
      </w:r>
      <w:r>
        <w:rPr>
          <w:rFonts w:hint="eastAsia" w:eastAsia="仿宋_GB2312"/>
          <w:sz w:val="32"/>
          <w:szCs w:val="32"/>
          <w:lang w:val="en-US" w:eastAsia="zh-CN"/>
        </w:rPr>
        <w:t>0.39</w:t>
      </w:r>
      <w:r>
        <w:rPr>
          <w:rFonts w:eastAsia="仿宋_GB2312"/>
          <w:sz w:val="32"/>
          <w:szCs w:val="32"/>
        </w:rPr>
        <w:t>%，主要是</w:t>
      </w:r>
      <w:r>
        <w:rPr>
          <w:rFonts w:hint="eastAsia" w:ascii="仿宋_GB2312" w:eastAsia="仿宋_GB2312" w:cs="DengXian-Regular"/>
          <w:sz w:val="32"/>
          <w:szCs w:val="32"/>
          <w:lang w:eastAsia="zh-CN"/>
        </w:rPr>
        <w:t>节约开支，减少公车使用</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val="en-US" w:eastAsia="zh-CN"/>
        </w:rPr>
        <w:t>主要是本部门没有增加增加公务车购置费支出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val="en-US" w:eastAsia="zh-CN"/>
        </w:rPr>
        <w:t>本部门未发生“公务用车购置费”经费支出、</w:t>
      </w:r>
      <w:r>
        <w:rPr>
          <w:rFonts w:hint="eastAsia" w:eastAsia="仿宋_GB2312"/>
          <w:sz w:val="32"/>
          <w:szCs w:val="32"/>
        </w:rPr>
        <w:t>“较年初预算无增减变化”、“较2017年度决算无增减变化”等。</w:t>
      </w:r>
      <w:bookmarkStart w:id="0" w:name="_GoBack"/>
      <w:bookmarkEnd w:id="0"/>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9.01</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6</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5.49</w:t>
      </w:r>
      <w:r>
        <w:rPr>
          <w:rFonts w:eastAsia="仿宋_GB2312"/>
          <w:sz w:val="32"/>
          <w:szCs w:val="32"/>
        </w:rPr>
        <w:t>万元，降低</w:t>
      </w:r>
      <w:r>
        <w:rPr>
          <w:rFonts w:hint="eastAsia" w:eastAsia="仿宋_GB2312"/>
          <w:sz w:val="32"/>
          <w:szCs w:val="32"/>
          <w:lang w:val="en-US" w:eastAsia="zh-CN"/>
        </w:rPr>
        <w:t>37.86</w:t>
      </w:r>
      <w:r>
        <w:rPr>
          <w:rFonts w:eastAsia="仿宋_GB2312"/>
          <w:sz w:val="32"/>
          <w:szCs w:val="32"/>
        </w:rPr>
        <w:t>%，主要是</w:t>
      </w:r>
      <w:r>
        <w:rPr>
          <w:rFonts w:hint="eastAsia" w:ascii="仿宋_GB2312" w:eastAsia="仿宋_GB2312" w:cs="DengXian-Regular"/>
          <w:sz w:val="32"/>
          <w:szCs w:val="32"/>
          <w:lang w:eastAsia="zh-CN"/>
        </w:rPr>
        <w:t>节约开支，减少公车使用</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val="en-US" w:eastAsia="zh-CN"/>
        </w:rPr>
        <w:t>0.37</w:t>
      </w:r>
      <w:r>
        <w:rPr>
          <w:rFonts w:eastAsia="仿宋_GB2312"/>
          <w:sz w:val="32"/>
          <w:szCs w:val="32"/>
        </w:rPr>
        <w:t>万元，降低</w:t>
      </w:r>
      <w:r>
        <w:rPr>
          <w:rFonts w:hint="eastAsia" w:eastAsia="仿宋_GB2312"/>
          <w:sz w:val="32"/>
          <w:szCs w:val="32"/>
          <w:lang w:val="en-US" w:eastAsia="zh-CN"/>
        </w:rPr>
        <w:t>0.39</w:t>
      </w:r>
      <w:r>
        <w:rPr>
          <w:rFonts w:eastAsia="仿宋_GB2312"/>
          <w:sz w:val="32"/>
          <w:szCs w:val="32"/>
        </w:rPr>
        <w:t>%，主要是</w:t>
      </w:r>
      <w:r>
        <w:rPr>
          <w:rFonts w:hint="eastAsia" w:ascii="仿宋_GB2312" w:eastAsia="仿宋_GB2312" w:cs="DengXian-Regular"/>
          <w:sz w:val="32"/>
          <w:szCs w:val="32"/>
          <w:lang w:eastAsia="zh-CN"/>
        </w:rPr>
        <w:t>节约开支，减少公车使用</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lang w:val="en-US" w:eastAsia="zh-CN"/>
        </w:rPr>
        <w:t>1.34</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24</w:t>
      </w:r>
      <w:r>
        <w:rPr>
          <w:rFonts w:eastAsia="仿宋_GB2312"/>
          <w:sz w:val="32"/>
          <w:szCs w:val="32"/>
        </w:rPr>
        <w:t>批次、</w:t>
      </w:r>
      <w:r>
        <w:rPr>
          <w:rFonts w:hint="eastAsia" w:eastAsia="仿宋_GB2312"/>
          <w:sz w:val="32"/>
          <w:szCs w:val="32"/>
          <w:lang w:val="en-US" w:eastAsia="zh-CN"/>
        </w:rPr>
        <w:t>268</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0.51</w:t>
      </w:r>
      <w:r>
        <w:rPr>
          <w:rFonts w:eastAsia="仿宋_GB2312"/>
          <w:sz w:val="32"/>
          <w:szCs w:val="32"/>
        </w:rPr>
        <w:t>万元，降低</w:t>
      </w:r>
      <w:r>
        <w:rPr>
          <w:rFonts w:hint="eastAsia" w:eastAsia="仿宋_GB2312"/>
          <w:sz w:val="32"/>
          <w:szCs w:val="32"/>
          <w:lang w:val="en-US" w:eastAsia="zh-CN"/>
        </w:rPr>
        <w:t>27.57</w:t>
      </w:r>
      <w:r>
        <w:rPr>
          <w:rFonts w:eastAsia="仿宋_GB2312"/>
          <w:sz w:val="32"/>
          <w:szCs w:val="32"/>
        </w:rPr>
        <w:t>%，主要是</w:t>
      </w:r>
      <w:r>
        <w:rPr>
          <w:rFonts w:hint="eastAsia" w:eastAsia="仿宋_GB2312"/>
          <w:sz w:val="32"/>
          <w:szCs w:val="32"/>
          <w:lang w:eastAsia="zh-CN"/>
        </w:rPr>
        <w:t>厉行节俭</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0.31</w:t>
      </w:r>
      <w:r>
        <w:rPr>
          <w:rFonts w:eastAsia="仿宋_GB2312"/>
          <w:sz w:val="32"/>
          <w:szCs w:val="32"/>
        </w:rPr>
        <w:t>万元，增长</w:t>
      </w:r>
      <w:r>
        <w:rPr>
          <w:rFonts w:hint="eastAsia" w:eastAsia="仿宋_GB2312"/>
          <w:sz w:val="32"/>
          <w:szCs w:val="32"/>
          <w:lang w:val="en-US" w:eastAsia="zh-CN"/>
        </w:rPr>
        <w:t>30</w:t>
      </w:r>
      <w:r>
        <w:rPr>
          <w:rFonts w:eastAsia="仿宋_GB2312"/>
          <w:sz w:val="32"/>
          <w:szCs w:val="32"/>
        </w:rPr>
        <w:t>%，主要是</w:t>
      </w:r>
      <w:r>
        <w:rPr>
          <w:rFonts w:hint="eastAsia" w:eastAsia="仿宋_GB2312"/>
          <w:sz w:val="32"/>
          <w:szCs w:val="32"/>
          <w:lang w:eastAsia="zh-CN"/>
        </w:rPr>
        <w:t>业务科室业务量增加</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adjustRightInd w:val="0"/>
        <w:snapToGrid w:val="0"/>
        <w:spacing w:line="584"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畜牧兽医局高度重视部门预算绩效管理工作。为了提高财政资金使用效益和效率，实现财政资金的规范性、安全性和有效性，按照《河北省人民政府关于深化推进预算绩效管理的意见》遵循“客观公正、公开透明”的原则，积极开展工作。</w:t>
      </w:r>
    </w:p>
    <w:p>
      <w:pPr>
        <w:numPr>
          <w:ilvl w:val="0"/>
          <w:numId w:val="3"/>
        </w:num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项目绩效自评结果。</w:t>
      </w:r>
    </w:p>
    <w:p>
      <w:pPr>
        <w:numPr>
          <w:ilvl w:val="0"/>
          <w:numId w:val="0"/>
        </w:numPr>
        <w:adjustRightInd w:val="0"/>
        <w:snapToGrid w:val="0"/>
        <w:spacing w:after="0" w:line="580" w:lineRule="exact"/>
        <w:ind w:firstLine="640" w:firstLineChars="200"/>
        <w:rPr>
          <w:rFonts w:hint="eastAsia" w:ascii="仿宋_GB2312" w:hAnsi="Times New Roman" w:eastAsia="仿宋_GB2312" w:cs="DengXian-Regular"/>
          <w:kern w:val="2"/>
          <w:sz w:val="32"/>
          <w:szCs w:val="32"/>
          <w:lang w:val="en-US" w:eastAsia="zh-CN" w:bidi="ar-SA"/>
        </w:rPr>
      </w:pPr>
      <w:r>
        <w:rPr>
          <w:rFonts w:hint="eastAsia" w:ascii="仿宋_GB2312" w:hAnsi="Times New Roman" w:eastAsia="仿宋_GB2312" w:cs="DengXian-Regular"/>
          <w:kern w:val="2"/>
          <w:sz w:val="32"/>
          <w:szCs w:val="32"/>
          <w:lang w:val="en-US" w:eastAsia="zh-CN" w:bidi="ar-SA"/>
        </w:rPr>
        <w:t>通过开展2018年专项项目绩效评价，一是促进了项目管理水平的提高，进一步完善了规章制度；二是各项目绩效目标设立明确、指标设置合理、内容全面，操作性强。绩效自评覆盖率达到100%。</w:t>
      </w:r>
    </w:p>
    <w:p>
      <w:pPr>
        <w:numPr>
          <w:ilvl w:val="0"/>
          <w:numId w:val="3"/>
        </w:numPr>
        <w:adjustRightInd w:val="0"/>
        <w:snapToGrid w:val="0"/>
        <w:spacing w:after="0" w:line="580" w:lineRule="exact"/>
        <w:ind w:left="0" w:leftChars="0"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重点项目绩效评价结果。</w:t>
      </w:r>
    </w:p>
    <w:p>
      <w:pPr>
        <w:pStyle w:val="11"/>
        <w:spacing w:beforeAutospacing="0" w:afterAutospacing="0" w:line="600" w:lineRule="exact"/>
        <w:ind w:firstLine="560"/>
        <w:rPr>
          <w:rFonts w:hint="eastAsia" w:ascii="仿宋_GB2312" w:hAnsi="Times New Roman" w:eastAsia="仿宋_GB2312" w:cs="DengXian-Regular"/>
          <w:color w:val="000000" w:themeColor="text1"/>
          <w:kern w:val="2"/>
          <w:sz w:val="32"/>
          <w:szCs w:val="32"/>
          <w:lang w:val="en-US" w:eastAsia="zh-CN" w:bidi="ar-SA"/>
        </w:rPr>
      </w:pPr>
      <w:r>
        <w:rPr>
          <w:rFonts w:hint="eastAsia" w:ascii="仿宋_GB2312" w:hAnsi="Times New Roman" w:eastAsia="仿宋_GB2312" w:cs="DengXian-Regular"/>
          <w:kern w:val="2"/>
          <w:sz w:val="32"/>
          <w:szCs w:val="32"/>
          <w:lang w:val="en-US" w:eastAsia="zh-CN" w:bidi="ar-SA"/>
        </w:rPr>
        <w:t>通过整体评价分析我局2018年较好的完成了部门整体绩效目标，各个项目均按照年初既定绩效目标有效开展，取得显著成效。</w:t>
      </w:r>
      <w:r>
        <w:rPr>
          <w:rFonts w:hint="eastAsia" w:ascii="仿宋_GB2312" w:hAnsi="Times New Roman" w:eastAsia="仿宋_GB2312" w:cs="DengXian-Regular"/>
          <w:color w:val="000000" w:themeColor="text1"/>
          <w:kern w:val="2"/>
          <w:sz w:val="32"/>
          <w:szCs w:val="32"/>
          <w:lang w:val="en-US" w:eastAsia="zh-CN" w:bidi="ar-SA"/>
        </w:rPr>
        <w:t>继续对专项项目进行重点绩效评价。截止2018年12月31日，重点项目已全部完成，取得良好成绩，项目绩效自评结果为“优秀”。</w:t>
      </w:r>
    </w:p>
    <w:p>
      <w:pPr>
        <w:pStyle w:val="3"/>
        <w:spacing w:before="0" w:after="0" w:line="580" w:lineRule="exact"/>
        <w:ind w:firstLine="960" w:firstLineChars="3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120.59</w:t>
      </w:r>
      <w:r>
        <w:rPr>
          <w:rFonts w:hint="eastAsia" w:ascii="仿宋_GB2312" w:eastAsia="仿宋_GB2312" w:cs="DengXian-Regular"/>
          <w:sz w:val="32"/>
          <w:szCs w:val="32"/>
        </w:rPr>
        <w:t>万元，比年初预算数增加</w:t>
      </w:r>
      <w:r>
        <w:rPr>
          <w:rFonts w:hint="eastAsia" w:ascii="仿宋_GB2312" w:eastAsia="仿宋_GB2312" w:cs="DengXian-Regular"/>
          <w:sz w:val="32"/>
          <w:szCs w:val="32"/>
          <w:lang w:val="en-US" w:eastAsia="zh-CN"/>
        </w:rPr>
        <w:t>14.29</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13.44</w:t>
      </w:r>
      <w:r>
        <w:rPr>
          <w:rFonts w:hint="eastAsia" w:ascii="仿宋_GB2312" w:eastAsia="仿宋_GB2312" w:cs="DengXian-Regular"/>
          <w:sz w:val="32"/>
          <w:szCs w:val="32"/>
        </w:rPr>
        <w:t xml:space="preserve"> </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日常维修（护）费、专用材料及物业费的增加</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43.39</w:t>
      </w:r>
      <w:r>
        <w:rPr>
          <w:rFonts w:eastAsia="仿宋_GB2312"/>
          <w:sz w:val="32"/>
          <w:szCs w:val="32"/>
        </w:rPr>
        <w:t>万元，增长</w:t>
      </w:r>
      <w:r>
        <w:rPr>
          <w:rFonts w:hint="eastAsia" w:eastAsia="仿宋_GB2312"/>
          <w:sz w:val="32"/>
          <w:szCs w:val="32"/>
          <w:lang w:val="en-US" w:eastAsia="zh-CN"/>
        </w:rPr>
        <w:t>56.2</w:t>
      </w:r>
      <w:r>
        <w:rPr>
          <w:rFonts w:eastAsia="仿宋_GB2312"/>
          <w:sz w:val="32"/>
          <w:szCs w:val="32"/>
        </w:rPr>
        <w:t>%，主要是</w:t>
      </w:r>
      <w:r>
        <w:rPr>
          <w:rFonts w:hint="eastAsia" w:eastAsia="仿宋_GB2312"/>
          <w:sz w:val="32"/>
          <w:szCs w:val="32"/>
          <w:lang w:eastAsia="zh-CN"/>
        </w:rPr>
        <w:t>专项业务经费增加。</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hint="eastAsia" w:ascii="仿宋_GB2312" w:eastAsia="仿宋_GB2312" w:cs="DengXian-Regular"/>
          <w:sz w:val="32"/>
          <w:szCs w:val="32"/>
          <w:lang w:val="en-US" w:eastAsia="zh-CN"/>
        </w:rPr>
      </w:pPr>
      <w:r>
        <w:rPr>
          <w:rFonts w:hint="eastAsia" w:ascii="仿宋_GB2312" w:eastAsia="仿宋_GB2312" w:cs="DengXian-Regular"/>
          <w:sz w:val="32"/>
          <w:szCs w:val="32"/>
        </w:rPr>
        <w:t>本部门2018年度政府采购支出总额</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6</w:t>
      </w:r>
      <w:r>
        <w:rPr>
          <w:rFonts w:hint="eastAsia" w:ascii="仿宋_GB2312" w:eastAsia="仿宋_GB2312" w:cs="DengXian-Regular"/>
          <w:sz w:val="32"/>
          <w:szCs w:val="32"/>
        </w:rPr>
        <w:t>辆，</w:t>
      </w:r>
      <w:r>
        <w:rPr>
          <w:rFonts w:hint="eastAsia" w:ascii="仿宋_GB2312" w:eastAsia="仿宋_GB2312" w:cs="DengXian-Regular"/>
          <w:sz w:val="32"/>
          <w:szCs w:val="32"/>
          <w:lang w:eastAsia="zh-CN"/>
        </w:rPr>
        <w:t>与上年相比无变化</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4</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辆，其他用车主要是</w:t>
      </w:r>
      <w:r>
        <w:rPr>
          <w:rFonts w:hint="eastAsia" w:ascii="仿宋_GB2312" w:eastAsia="仿宋_GB2312" w:cs="DengXian-Regular"/>
          <w:sz w:val="32"/>
          <w:szCs w:val="32"/>
          <w:lang w:eastAsia="zh-CN"/>
        </w:rPr>
        <w:t>运输疫苗</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w:t>
      </w:r>
      <w:r>
        <w:rPr>
          <w:rFonts w:hint="eastAsia" w:ascii="仿宋" w:hAnsi="仿宋" w:eastAsia="仿宋" w:cs="DengXian-Regular"/>
          <w:sz w:val="32"/>
          <w:szCs w:val="32"/>
        </w:rPr>
        <w:t>较上年无增减变化。单位价值</w:t>
      </w:r>
      <w:r>
        <w:rPr>
          <w:rFonts w:hint="eastAsia" w:ascii="仿宋" w:hAnsi="仿宋" w:eastAsia="仿宋" w:cs="TimesNewRomanPSMT"/>
          <w:sz w:val="32"/>
          <w:szCs w:val="32"/>
        </w:rPr>
        <w:t>100</w:t>
      </w:r>
      <w:r>
        <w:rPr>
          <w:rFonts w:hint="eastAsia" w:ascii="仿宋" w:hAnsi="仿宋" w:eastAsia="仿宋" w:cs="DengXian-Regular"/>
          <w:sz w:val="32"/>
          <w:szCs w:val="32"/>
        </w:rPr>
        <w:t>万元以上专用设备0台（套）较上年无增减变化。</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_GB2312" w:eastAsia="仿宋_GB2312" w:cs="DengXian-Regular"/>
          <w:sz w:val="32"/>
          <w:szCs w:val="32"/>
        </w:rPr>
        <w:t>1、本部门2018年度</w:t>
      </w:r>
      <w:r>
        <w:rPr>
          <w:rFonts w:hint="eastAsia" w:ascii="仿宋" w:hAnsi="仿宋" w:eastAsia="仿宋" w:cs="仿宋"/>
          <w:bCs/>
          <w:sz w:val="32"/>
          <w:szCs w:val="32"/>
        </w:rPr>
        <w:t>政府性基金预算财政拨款、国有资本经营预算财政拨款无收支及结转结余情况，故政府性基金预算财政拨款收入支出决算表、国有资本经营预算财政拨款支出决算表以空表列示</w:t>
      </w:r>
      <w:r>
        <w:rPr>
          <w:rFonts w:hint="eastAsia" w:ascii="仿宋" w:hAnsi="仿宋" w:eastAsia="仿宋"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C4E0D455-E83A-43F1-9938-1FE298D5EF52}"/>
  </w:font>
  <w:font w:name="黑体">
    <w:panose1 w:val="02010609060101010101"/>
    <w:charset w:val="86"/>
    <w:family w:val="auto"/>
    <w:pitch w:val="default"/>
    <w:sig w:usb0="800002BF" w:usb1="38CF7CFA" w:usb2="00000016" w:usb3="00000000" w:csb0="00040001" w:csb1="00000000"/>
    <w:embedRegular r:id="rId2" w:fontKey="{1BD292D3-D42D-40C3-985E-250BCCD0312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21B949C0-01C5-4BFD-9F15-E82C06C84C9B}"/>
  </w:font>
  <w:font w:name="Cambria">
    <w:panose1 w:val="02040503050406030204"/>
    <w:charset w:val="00"/>
    <w:family w:val="roman"/>
    <w:pitch w:val="default"/>
    <w:sig w:usb0="E00002FF" w:usb1="400004FF" w:usb2="00000000" w:usb3="00000000" w:csb0="2000019F" w:csb1="00000000"/>
    <w:embedRegular r:id="rId4" w:fontKey="{9A6E2F50-FDFE-4C91-9FAB-0D2C2266C434}"/>
  </w:font>
  <w:font w:name="楷体">
    <w:panose1 w:val="02010609060101010101"/>
    <w:charset w:val="86"/>
    <w:family w:val="modern"/>
    <w:pitch w:val="default"/>
    <w:sig w:usb0="800002BF" w:usb1="38CF7CFA" w:usb2="00000016" w:usb3="00000000" w:csb0="00040001" w:csb1="00000000"/>
    <w:embedRegular r:id="rId5" w:fontKey="{D5281039-5A25-40C3-82E9-5DB9B55BB7A5}"/>
  </w:font>
  <w:font w:name="仿宋_GB2312">
    <w:panose1 w:val="02010609030101010101"/>
    <w:charset w:val="86"/>
    <w:family w:val="modern"/>
    <w:pitch w:val="default"/>
    <w:sig w:usb0="00000001" w:usb1="080E0000" w:usb2="00000000" w:usb3="00000000" w:csb0="00040000" w:csb1="00000000"/>
    <w:embedRegular r:id="rId6" w:fontKey="{B7B74512-771F-4BF4-9F19-E8C5BE0BE585}"/>
  </w:font>
  <w:font w:name="ArialUnicodeMS">
    <w:altName w:val="Malgun Gothic"/>
    <w:panose1 w:val="00000000000000000000"/>
    <w:charset w:val="81"/>
    <w:family w:val="auto"/>
    <w:pitch w:val="default"/>
    <w:sig w:usb0="00000000" w:usb1="00000000" w:usb2="00000010" w:usb3="00000000" w:csb0="00080001" w:csb1="00000000"/>
    <w:embedRegular r:id="rId7" w:fontKey="{312596A4-4FC2-4906-99CA-1DFA9964682E}"/>
  </w:font>
  <w:font w:name="MS-UIGothic,Bold">
    <w:altName w:val="Malgun Gothic"/>
    <w:panose1 w:val="00000000000000000000"/>
    <w:charset w:val="81"/>
    <w:family w:val="auto"/>
    <w:pitch w:val="default"/>
    <w:sig w:usb0="00000000" w:usb1="00000000" w:usb2="00000010" w:usb3="00000000" w:csb0="00080000" w:csb1="00000000"/>
    <w:embedRegular r:id="rId8" w:fontKey="{D25E9613-E7E4-4FD4-B301-DBA6580069E6}"/>
  </w:font>
  <w:font w:name="DengXian-Regular">
    <w:altName w:val="宋体"/>
    <w:panose1 w:val="00000000000000000000"/>
    <w:charset w:val="86"/>
    <w:family w:val="auto"/>
    <w:pitch w:val="default"/>
    <w:sig w:usb0="00000000" w:usb1="00000000" w:usb2="00000010" w:usb3="00000000" w:csb0="00040001" w:csb1="00000000"/>
    <w:embedRegular r:id="rId9" w:fontKey="{22B2FACA-33DF-4675-A843-30B7666ACB8E}"/>
  </w:font>
  <w:font w:name="楷体_GB2312">
    <w:panose1 w:val="02010609030101010101"/>
    <w:charset w:val="86"/>
    <w:family w:val="modern"/>
    <w:pitch w:val="default"/>
    <w:sig w:usb0="00000001" w:usb1="080E0000" w:usb2="00000000" w:usb3="00000000" w:csb0="00040000" w:csb1="00000000"/>
    <w:embedRegular r:id="rId10" w:fontKey="{C0763194-B0A2-40E6-AE04-7D58C4D5E8D6}"/>
  </w:font>
  <w:font w:name="DengXian-Bold">
    <w:altName w:val="宋体"/>
    <w:panose1 w:val="00000000000000000000"/>
    <w:charset w:val="86"/>
    <w:family w:val="auto"/>
    <w:pitch w:val="default"/>
    <w:sig w:usb0="00000000" w:usb1="00000000" w:usb2="00000010" w:usb3="00000000" w:csb0="00040001" w:csb1="00000000"/>
    <w:embedRegular r:id="rId11" w:fontKey="{937165EB-479B-43A7-8E31-16568A09C596}"/>
  </w:font>
  <w:font w:name="仿宋">
    <w:panose1 w:val="02010609060101010101"/>
    <w:charset w:val="86"/>
    <w:family w:val="modern"/>
    <w:pitch w:val="default"/>
    <w:sig w:usb0="800002BF" w:usb1="38CF7CFA" w:usb2="00000016" w:usb3="00000000" w:csb0="00040001" w:csb1="00000000"/>
    <w:embedRegular r:id="rId12" w:fontKey="{07A7C048-6468-48FC-AFA7-B22A991CA273}"/>
  </w:font>
  <w:font w:name="TimesNewRomanPSMT">
    <w:altName w:val="Arial"/>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B64561"/>
    <w:multiLevelType w:val="singleLevel"/>
    <w:tmpl w:val="D1B64561"/>
    <w:lvl w:ilvl="0" w:tentative="0">
      <w:start w:val="1"/>
      <w:numFmt w:val="chineseCounting"/>
      <w:suff w:val="nothing"/>
      <w:lvlText w:val="%1、"/>
      <w:lvlJc w:val="left"/>
      <w:rPr>
        <w:rFonts w:hint="eastAsia"/>
      </w:rPr>
    </w:lvl>
  </w:abstractNum>
  <w:abstractNum w:abstractNumId="1">
    <w:nsid w:val="F7DA79A3"/>
    <w:multiLevelType w:val="singleLevel"/>
    <w:tmpl w:val="F7DA79A3"/>
    <w:lvl w:ilvl="0" w:tentative="0">
      <w:start w:val="2"/>
      <w:numFmt w:val="chineseCounting"/>
      <w:suff w:val="nothing"/>
      <w:lvlText w:val="（%1）"/>
      <w:lvlJc w:val="left"/>
      <w:rPr>
        <w:rFonts w:hint="eastAsia"/>
      </w:rPr>
    </w:lvl>
  </w:abstractNum>
  <w:abstractNum w:abstractNumId="2">
    <w:nsid w:val="45DB9A87"/>
    <w:multiLevelType w:val="singleLevel"/>
    <w:tmpl w:val="45DB9A87"/>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4073F84"/>
    <w:rsid w:val="0460564D"/>
    <w:rsid w:val="072637A1"/>
    <w:rsid w:val="07936337"/>
    <w:rsid w:val="086E4791"/>
    <w:rsid w:val="0B60750A"/>
    <w:rsid w:val="10686488"/>
    <w:rsid w:val="10DF728A"/>
    <w:rsid w:val="12230D4E"/>
    <w:rsid w:val="1264200E"/>
    <w:rsid w:val="141C5B77"/>
    <w:rsid w:val="181C496F"/>
    <w:rsid w:val="18BE2E9C"/>
    <w:rsid w:val="18D8339D"/>
    <w:rsid w:val="1A21388F"/>
    <w:rsid w:val="1A570D2F"/>
    <w:rsid w:val="1BB84D83"/>
    <w:rsid w:val="1CAD7BD6"/>
    <w:rsid w:val="1CFE616B"/>
    <w:rsid w:val="1F2127BA"/>
    <w:rsid w:val="1F8E6A86"/>
    <w:rsid w:val="20DF0DCD"/>
    <w:rsid w:val="228369C9"/>
    <w:rsid w:val="22D930D0"/>
    <w:rsid w:val="233A3860"/>
    <w:rsid w:val="23507706"/>
    <w:rsid w:val="28FB0B8D"/>
    <w:rsid w:val="292A7641"/>
    <w:rsid w:val="29D71333"/>
    <w:rsid w:val="29F3674D"/>
    <w:rsid w:val="2CDD28E8"/>
    <w:rsid w:val="2D2B7942"/>
    <w:rsid w:val="2D46481D"/>
    <w:rsid w:val="2E145E14"/>
    <w:rsid w:val="2E733B28"/>
    <w:rsid w:val="2FB41781"/>
    <w:rsid w:val="31852B5A"/>
    <w:rsid w:val="32D01238"/>
    <w:rsid w:val="337210F7"/>
    <w:rsid w:val="33AF5692"/>
    <w:rsid w:val="35845096"/>
    <w:rsid w:val="3BEC66AA"/>
    <w:rsid w:val="3DFC59A8"/>
    <w:rsid w:val="3E120B82"/>
    <w:rsid w:val="3E613684"/>
    <w:rsid w:val="3ECF245E"/>
    <w:rsid w:val="3FB96314"/>
    <w:rsid w:val="40970635"/>
    <w:rsid w:val="41E92847"/>
    <w:rsid w:val="42B632E2"/>
    <w:rsid w:val="42CE3F7E"/>
    <w:rsid w:val="46957C3D"/>
    <w:rsid w:val="4C5B0DED"/>
    <w:rsid w:val="511D7A84"/>
    <w:rsid w:val="531F6672"/>
    <w:rsid w:val="53A44FAF"/>
    <w:rsid w:val="568C0C7B"/>
    <w:rsid w:val="57A83A0B"/>
    <w:rsid w:val="594329EC"/>
    <w:rsid w:val="5A9A5F56"/>
    <w:rsid w:val="5AF470DD"/>
    <w:rsid w:val="5BEE1540"/>
    <w:rsid w:val="5DE61A5D"/>
    <w:rsid w:val="626E5691"/>
    <w:rsid w:val="63C04243"/>
    <w:rsid w:val="64090281"/>
    <w:rsid w:val="647B720C"/>
    <w:rsid w:val="649C01C7"/>
    <w:rsid w:val="65626709"/>
    <w:rsid w:val="67855FC0"/>
    <w:rsid w:val="68B019CF"/>
    <w:rsid w:val="69913B73"/>
    <w:rsid w:val="699A3F60"/>
    <w:rsid w:val="6D8138D5"/>
    <w:rsid w:val="6FE7366D"/>
    <w:rsid w:val="6FEB0DC7"/>
    <w:rsid w:val="72902E62"/>
    <w:rsid w:val="72F90B78"/>
    <w:rsid w:val="733F1AC4"/>
    <w:rsid w:val="73C61104"/>
    <w:rsid w:val="75503F97"/>
    <w:rsid w:val="7716124D"/>
    <w:rsid w:val="776452EA"/>
    <w:rsid w:val="788300F0"/>
    <w:rsid w:val="7C1472F1"/>
    <w:rsid w:val="7CF73BA6"/>
    <w:rsid w:val="7D432086"/>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6">
    <w:name w:val="Date"/>
    <w:basedOn w:val="1"/>
    <w:next w:val="1"/>
    <w:link w:val="32"/>
    <w:semiHidden/>
    <w:unhideWhenUsed/>
    <w:qFormat/>
    <w:uiPriority w:val="99"/>
    <w:pPr>
      <w:ind w:left="100" w:leftChars="2500"/>
    </w:pPr>
  </w:style>
  <w:style w:type="paragraph" w:styleId="7">
    <w:name w:val="Balloon Text"/>
    <w:basedOn w:val="1"/>
    <w:link w:val="20"/>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2"/>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Normal (Web)"/>
    <w:basedOn w:val="1"/>
    <w:qFormat/>
    <w:uiPriority w:val="99"/>
    <w:pPr>
      <w:widowControl/>
      <w:spacing w:before="100" w:beforeAutospacing="1" w:after="100" w:afterAutospacing="1" w:line="240" w:lineRule="auto"/>
      <w:jc w:val="left"/>
    </w:pPr>
    <w:rPr>
      <w:rFonts w:ascii="宋体" w:hAnsi="宋体" w:cs="宋体"/>
      <w:kern w:val="0"/>
      <w:sz w:val="24"/>
    </w:rPr>
  </w:style>
  <w:style w:type="paragraph" w:styleId="12">
    <w:name w:val="Title"/>
    <w:basedOn w:val="1"/>
    <w:next w:val="1"/>
    <w:link w:val="21"/>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4">
    <w:name w:val="Table Grid"/>
    <w:basedOn w:val="13"/>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6">
    <w:name w:val="页眉 Char"/>
    <w:basedOn w:val="15"/>
    <w:link w:val="9"/>
    <w:qFormat/>
    <w:uiPriority w:val="99"/>
    <w:rPr>
      <w:sz w:val="18"/>
      <w:szCs w:val="18"/>
    </w:rPr>
  </w:style>
  <w:style w:type="character" w:customStyle="1" w:styleId="17">
    <w:name w:val="页脚 Char"/>
    <w:basedOn w:val="15"/>
    <w:link w:val="8"/>
    <w:qFormat/>
    <w:uiPriority w:val="99"/>
    <w:rPr>
      <w:sz w:val="18"/>
      <w:szCs w:val="18"/>
    </w:rPr>
  </w:style>
  <w:style w:type="paragraph" w:styleId="18">
    <w:name w:val="No Spacing"/>
    <w:link w:val="19"/>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9">
    <w:name w:val="无间隔 Char"/>
    <w:basedOn w:val="15"/>
    <w:link w:val="18"/>
    <w:qFormat/>
    <w:uiPriority w:val="1"/>
    <w:rPr>
      <w:kern w:val="0"/>
      <w:sz w:val="22"/>
    </w:rPr>
  </w:style>
  <w:style w:type="character" w:customStyle="1" w:styleId="20">
    <w:name w:val="批注框文本 Char"/>
    <w:basedOn w:val="15"/>
    <w:link w:val="7"/>
    <w:semiHidden/>
    <w:qFormat/>
    <w:uiPriority w:val="99"/>
    <w:rPr>
      <w:rFonts w:ascii="Times New Roman" w:hAnsi="Times New Roman" w:eastAsia="宋体" w:cs="Times New Roman"/>
      <w:sz w:val="18"/>
      <w:szCs w:val="18"/>
    </w:rPr>
  </w:style>
  <w:style w:type="character" w:customStyle="1" w:styleId="21">
    <w:name w:val="标题 Char"/>
    <w:basedOn w:val="15"/>
    <w:link w:val="12"/>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2">
    <w:name w:val="副标题 Char"/>
    <w:basedOn w:val="15"/>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3">
    <w:name w:val="Style1"/>
    <w:basedOn w:val="15"/>
    <w:qFormat/>
    <w:uiPriority w:val="1"/>
    <w:rPr>
      <w:rFonts w:asciiTheme="minorHAnsi" w:hAnsiTheme="minorEastAsia" w:eastAsiaTheme="minorEastAsia" w:cstheme="minorBidi"/>
      <w:sz w:val="22"/>
      <w:szCs w:val="22"/>
      <w:lang w:eastAsia="zh-CN"/>
    </w:rPr>
  </w:style>
  <w:style w:type="character" w:customStyle="1" w:styleId="24">
    <w:name w:val="Style2"/>
    <w:basedOn w:val="15"/>
    <w:qFormat/>
    <w:uiPriority w:val="1"/>
    <w:rPr>
      <w:rFonts w:asciiTheme="minorHAnsi" w:hAnsiTheme="minorEastAsia" w:eastAsiaTheme="minorEastAsia" w:cstheme="minorBidi"/>
      <w:sz w:val="22"/>
      <w:szCs w:val="22"/>
      <w:lang w:eastAsia="zh-CN"/>
    </w:rPr>
  </w:style>
  <w:style w:type="character" w:customStyle="1" w:styleId="25">
    <w:name w:val="Style3"/>
    <w:basedOn w:val="15"/>
    <w:qFormat/>
    <w:uiPriority w:val="1"/>
    <w:rPr>
      <w:rFonts w:asciiTheme="minorHAnsi" w:hAnsiTheme="minorEastAsia" w:eastAsiaTheme="minorEastAsia" w:cstheme="minorBidi"/>
      <w:szCs w:val="22"/>
      <w:lang w:eastAsia="zh-CN"/>
    </w:rPr>
  </w:style>
  <w:style w:type="character" w:customStyle="1" w:styleId="26">
    <w:name w:val="Style4"/>
    <w:basedOn w:val="15"/>
    <w:qFormat/>
    <w:uiPriority w:val="1"/>
    <w:rPr>
      <w:rFonts w:asciiTheme="minorHAnsi" w:hAnsiTheme="minorEastAsia" w:eastAsiaTheme="minorEastAsia" w:cstheme="minorBidi"/>
      <w:szCs w:val="22"/>
      <w:lang w:eastAsia="zh-CN"/>
    </w:rPr>
  </w:style>
  <w:style w:type="character" w:customStyle="1" w:styleId="27">
    <w:name w:val="Style5"/>
    <w:basedOn w:val="15"/>
    <w:qFormat/>
    <w:uiPriority w:val="1"/>
    <w:rPr>
      <w:rFonts w:asciiTheme="minorHAnsi" w:hAnsiTheme="minorEastAsia" w:eastAsiaTheme="minorEastAsia" w:cstheme="minorBidi"/>
      <w:sz w:val="22"/>
      <w:szCs w:val="22"/>
      <w:lang w:eastAsia="zh-CN"/>
    </w:rPr>
  </w:style>
  <w:style w:type="character" w:customStyle="1" w:styleId="28">
    <w:name w:val="标题 1 Char"/>
    <w:basedOn w:val="15"/>
    <w:link w:val="2"/>
    <w:qFormat/>
    <w:uiPriority w:val="9"/>
    <w:rPr>
      <w:rFonts w:ascii="Times New Roman" w:hAnsi="Times New Roman" w:eastAsia="宋体" w:cs="Times New Roman"/>
      <w:b/>
      <w:bCs/>
      <w:kern w:val="44"/>
      <w:sz w:val="44"/>
      <w:szCs w:val="44"/>
    </w:rPr>
  </w:style>
  <w:style w:type="character" w:customStyle="1" w:styleId="29">
    <w:name w:val="标题 2 Char"/>
    <w:basedOn w:val="15"/>
    <w:link w:val="3"/>
    <w:qFormat/>
    <w:uiPriority w:val="9"/>
    <w:rPr>
      <w:rFonts w:asciiTheme="majorHAnsi" w:hAnsiTheme="majorHAnsi" w:eastAsiaTheme="majorEastAsia" w:cstheme="majorBidi"/>
      <w:b/>
      <w:bCs/>
      <w:sz w:val="32"/>
      <w:szCs w:val="32"/>
    </w:rPr>
  </w:style>
  <w:style w:type="character" w:customStyle="1" w:styleId="30">
    <w:name w:val="标题 3 Char"/>
    <w:basedOn w:val="15"/>
    <w:link w:val="4"/>
    <w:qFormat/>
    <w:uiPriority w:val="9"/>
    <w:rPr>
      <w:rFonts w:ascii="Times New Roman" w:hAnsi="Times New Roman" w:eastAsia="宋体" w:cs="Times New Roman"/>
      <w:b/>
      <w:bCs/>
      <w:sz w:val="32"/>
      <w:szCs w:val="32"/>
    </w:rPr>
  </w:style>
  <w:style w:type="character" w:customStyle="1" w:styleId="31">
    <w:name w:val="标题 4 Char"/>
    <w:basedOn w:val="15"/>
    <w:link w:val="5"/>
    <w:qFormat/>
    <w:uiPriority w:val="9"/>
    <w:rPr>
      <w:rFonts w:asciiTheme="majorHAnsi" w:hAnsiTheme="majorHAnsi" w:eastAsiaTheme="majorEastAsia" w:cstheme="majorBidi"/>
      <w:b/>
      <w:bCs/>
      <w:sz w:val="28"/>
      <w:szCs w:val="28"/>
    </w:rPr>
  </w:style>
  <w:style w:type="character" w:customStyle="1" w:styleId="32">
    <w:name w:val="日期 Char"/>
    <w:basedOn w:val="15"/>
    <w:link w:val="6"/>
    <w:semiHidden/>
    <w:qFormat/>
    <w:uiPriority w:val="99"/>
    <w:rPr>
      <w:rFonts w:ascii="Times New Roman" w:hAnsi="Times New Roman" w:eastAsia="宋体" w:cs="Times New Roman"/>
      <w:szCs w:val="24"/>
    </w:rPr>
  </w:style>
  <w:style w:type="paragraph" w:styleId="3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gradFill rotWithShape="1">
                <a:gsLst>
                  <a:gs pos="0">
                    <a:schemeClr val="accent1">
                      <a:tint val="65000"/>
                      <a:satMod val="180000"/>
                    </a:schemeClr>
                  </a:gs>
                  <a:gs pos="50000">
                    <a:schemeClr val="accent1">
                      <a:tint val="40000"/>
                      <a:satMod val="175000"/>
                    </a:schemeClr>
                  </a:gs>
                  <a:gs pos="100000">
                    <a:schemeClr val="accent1">
                      <a:tint val="65000"/>
                      <a:satMod val="180000"/>
                    </a:schemeClr>
                  </a:gs>
                </a:gsLst>
                <a:lin ang="0" scaled="1"/>
              </a:gradFill>
              <a:ln w="9525" cap="flat" cmpd="sng" algn="ctr">
                <a:solidFill>
                  <a:schemeClr val="accent1">
                    <a:shade val="95000"/>
                  </a:schemeClr>
                </a:solidFill>
                <a:round/>
              </a:ln>
              <a:effectLst>
                <a:outerShdw blurRad="190500" dist="78600" dir="2700000" rotWithShape="0">
                  <a:srgbClr val="000000">
                    <a:alpha val="35500"/>
                  </a:srgbClr>
                </a:outerShdw>
              </a:effectLst>
            </c:spPr>
          </c:dPt>
          <c:dPt>
            <c:idx val="1"/>
            <c:bubble3D val="0"/>
            <c:spPr>
              <a:gradFill rotWithShape="1">
                <a:gsLst>
                  <a:gs pos="0">
                    <a:schemeClr val="accent2">
                      <a:tint val="65000"/>
                      <a:satMod val="180000"/>
                    </a:schemeClr>
                  </a:gs>
                  <a:gs pos="50000">
                    <a:schemeClr val="accent2">
                      <a:tint val="40000"/>
                      <a:satMod val="175000"/>
                    </a:schemeClr>
                  </a:gs>
                  <a:gs pos="100000">
                    <a:schemeClr val="accent2">
                      <a:tint val="65000"/>
                      <a:satMod val="180000"/>
                    </a:schemeClr>
                  </a:gs>
                </a:gsLst>
                <a:lin ang="0" scaled="1"/>
              </a:gradFill>
              <a:ln w="9525" cap="flat" cmpd="sng" algn="ctr">
                <a:solidFill>
                  <a:schemeClr val="accent2">
                    <a:shade val="95000"/>
                  </a:schemeClr>
                </a:solidFill>
                <a:round/>
              </a:ln>
              <a:effectLst>
                <a:outerShdw blurRad="190500" dist="78600" dir="2700000" rotWithShape="0">
                  <a:srgbClr val="000000">
                    <a:alpha val="35500"/>
                  </a:srgbClr>
                </a:outerShdw>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65000"/>
                            <a:lumOff val="35000"/>
                          </a:schemeClr>
                        </a:solidFill>
                        <a:latin typeface="+mn-lt"/>
                        <a:ea typeface="+mn-ea"/>
                        <a:cs typeface="+mn-cs"/>
                      </a:defRPr>
                    </a:pPr>
                    <a:r>
                      <a:t>99.9%</a:t>
                    </a:r>
                  </a:p>
                </c:rich>
              </c:tx>
              <c:dLblPos val="ctr"/>
              <c:showLegendKey val="0"/>
              <c:showVal val="1"/>
              <c:showCatName val="0"/>
              <c:showSerName val="0"/>
              <c:showPercent val="1"/>
              <c:showBubbleSize val="0"/>
              <c:extLst>
                <c:ext xmlns:c15="http://schemas.microsoft.com/office/drawing/2012/chart" uri="{CE6537A1-D6FC-4f65-9D91-7224C49458BB}"/>
              </c:extLst>
            </c:dLbl>
            <c:dLbl>
              <c:idx val="1"/>
              <c:layout>
                <c:manualLayout>
                  <c:x val="0.0396351115072738"/>
                  <c:y val="0.086858954671245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65000"/>
                            <a:lumOff val="35000"/>
                          </a:schemeClr>
                        </a:solidFill>
                        <a:latin typeface="+mn-lt"/>
                        <a:ea typeface="+mn-ea"/>
                        <a:cs typeface="+mn-cs"/>
                      </a:defRPr>
                    </a:pPr>
                    <a:r>
                      <a:t>0.1%</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财政拨款收入</c:v>
                </c:pt>
                <c:pt idx="1">
                  <c:v>上级补助收入</c:v>
                </c:pt>
              </c:strCache>
            </c:strRef>
          </c:cat>
          <c:val>
            <c:numRef>
              <c:f>Sheet1!$B$2:$B$3</c:f>
              <c:numCache>
                <c:formatCode>General</c:formatCode>
                <c:ptCount val="2"/>
                <c:pt idx="0">
                  <c:v>99.9</c:v>
                </c:pt>
                <c:pt idx="1">
                  <c:v>0.1</c:v>
                </c:pt>
              </c:numCache>
            </c:numRef>
          </c:val>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列1</c:v>
                      </c:pt>
                    </c:strCache>
                  </c:strRef>
                </c15:tx>
              </c15:filteredSeriesTitle>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gradFill rotWithShape="1">
                <a:gsLst>
                  <a:gs pos="0">
                    <a:schemeClr val="accent1">
                      <a:tint val="65000"/>
                      <a:satMod val="180000"/>
                    </a:schemeClr>
                  </a:gs>
                  <a:gs pos="50000">
                    <a:schemeClr val="accent1">
                      <a:tint val="40000"/>
                      <a:satMod val="175000"/>
                    </a:schemeClr>
                  </a:gs>
                  <a:gs pos="100000">
                    <a:schemeClr val="accent1">
                      <a:tint val="65000"/>
                      <a:satMod val="180000"/>
                    </a:schemeClr>
                  </a:gs>
                </a:gsLst>
                <a:lin ang="0" scaled="1"/>
              </a:gradFill>
              <a:ln w="9525" cap="flat" cmpd="sng" algn="ctr">
                <a:solidFill>
                  <a:schemeClr val="accent1">
                    <a:shade val="95000"/>
                  </a:schemeClr>
                </a:solidFill>
                <a:round/>
              </a:ln>
              <a:effectLst>
                <a:outerShdw blurRad="190500" dist="78600" dir="2700000" rotWithShape="0">
                  <a:srgbClr val="000000">
                    <a:alpha val="35500"/>
                  </a:srgbClr>
                </a:outerShdw>
              </a:effectLst>
            </c:spPr>
          </c:dPt>
          <c:dPt>
            <c:idx val="1"/>
            <c:bubble3D val="0"/>
            <c:spPr>
              <a:gradFill rotWithShape="1">
                <a:gsLst>
                  <a:gs pos="0">
                    <a:schemeClr val="accent2">
                      <a:tint val="65000"/>
                      <a:satMod val="180000"/>
                    </a:schemeClr>
                  </a:gs>
                  <a:gs pos="50000">
                    <a:schemeClr val="accent2">
                      <a:tint val="40000"/>
                      <a:satMod val="175000"/>
                    </a:schemeClr>
                  </a:gs>
                  <a:gs pos="100000">
                    <a:schemeClr val="accent2">
                      <a:tint val="65000"/>
                      <a:satMod val="180000"/>
                    </a:schemeClr>
                  </a:gs>
                </a:gsLst>
                <a:lin ang="0" scaled="1"/>
              </a:gradFill>
              <a:ln w="9525" cap="flat" cmpd="sng" algn="ctr">
                <a:solidFill>
                  <a:schemeClr val="accent2">
                    <a:shade val="95000"/>
                  </a:schemeClr>
                </a:solidFill>
                <a:round/>
              </a:ln>
              <a:effectLst>
                <a:outerShdw blurRad="190500" dist="78600" dir="2700000" rotWithShape="0">
                  <a:srgbClr val="000000">
                    <a:alpha val="35500"/>
                  </a:srgbClr>
                </a:outerShdw>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65000"/>
                            <a:lumOff val="35000"/>
                          </a:schemeClr>
                        </a:solidFill>
                        <a:latin typeface="+mn-lt"/>
                        <a:ea typeface="+mn-ea"/>
                        <a:cs typeface="+mn-cs"/>
                      </a:defRPr>
                    </a:pPr>
                    <a:r>
                      <a:t>84.05</a:t>
                    </a:r>
                    <a:r>
                      <a:rPr lang="en-US" altLang="zh-CN"/>
                      <a:t>%</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65000"/>
                            <a:lumOff val="35000"/>
                          </a:schemeClr>
                        </a:solidFill>
                        <a:latin typeface="+mn-lt"/>
                        <a:ea typeface="+mn-ea"/>
                        <a:cs typeface="+mn-cs"/>
                      </a:defRPr>
                    </a:pPr>
                    <a:r>
                      <a:t>15.95</a:t>
                    </a:r>
                    <a:r>
                      <a:rPr lang="en-US" altLang="zh-CN"/>
                      <a:t>%</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84.05</c:v>
                </c:pt>
                <c:pt idx="1">
                  <c:v>15.95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57621440536013"/>
          <c:y val="0.0710854947166186"/>
          <c:w val="0.885890993428682"/>
          <c:h val="0.778174831892411"/>
        </c:manualLayout>
      </c:layout>
      <c:barChart>
        <c:barDir val="col"/>
        <c:grouping val="clustered"/>
        <c:varyColors val="0"/>
        <c:ser>
          <c:idx val="0"/>
          <c:order val="0"/>
          <c:tx>
            <c:strRef>
              <c:f>Sheet1!$B$1</c:f>
              <c:strCache>
                <c:ptCount val="1"/>
                <c:pt idx="0">
                  <c:v>2017年</c:v>
                </c:pt>
              </c:strCache>
            </c:strRef>
          </c:tx>
          <c:spPr>
            <a:solidFill>
              <a:schemeClr val="accent1"/>
            </a:solidFill>
            <a:ln>
              <a:noFill/>
            </a:ln>
            <a:effectLst/>
          </c:spPr>
          <c:invertIfNegative val="0"/>
          <c:dLbls>
            <c:delete val="1"/>
          </c:dLbls>
          <c:cat>
            <c:strRef>
              <c:f>Sheet1!$A$2:$A$3</c:f>
              <c:strCache>
                <c:ptCount val="2"/>
                <c:pt idx="0">
                  <c:v>财政拨款收入</c:v>
                </c:pt>
                <c:pt idx="1">
                  <c:v>财政拨款支出</c:v>
                </c:pt>
              </c:strCache>
            </c:strRef>
          </c:cat>
          <c:val>
            <c:numRef>
              <c:f>Sheet1!$B$2:$B$3</c:f>
              <c:numCache>
                <c:formatCode>General</c:formatCode>
                <c:ptCount val="2"/>
                <c:pt idx="0">
                  <c:v>1162.56</c:v>
                </c:pt>
                <c:pt idx="1">
                  <c:v>1215.49</c:v>
                </c:pt>
              </c:numCache>
            </c:numRef>
          </c:val>
        </c:ser>
        <c:ser>
          <c:idx val="1"/>
          <c:order val="1"/>
          <c:tx>
            <c:strRef>
              <c:f>Sheet1!$C$1</c:f>
              <c:strCache>
                <c:ptCount val="1"/>
                <c:pt idx="0">
                  <c:v>2018年</c:v>
                </c:pt>
              </c:strCache>
            </c:strRef>
          </c:tx>
          <c:spPr>
            <a:solidFill>
              <a:schemeClr val="accent1">
                <a:lumMod val="60000"/>
                <a:lumOff val="40000"/>
              </a:schemeClr>
            </a:solidFill>
            <a:ln>
              <a:noFill/>
            </a:ln>
            <a:effectLst/>
          </c:spPr>
          <c:invertIfNegative val="0"/>
          <c:dLbls>
            <c:delete val="1"/>
          </c:dLbls>
          <c:cat>
            <c:strRef>
              <c:f>Sheet1!$A$2:$A$3</c:f>
              <c:strCache>
                <c:ptCount val="2"/>
                <c:pt idx="0">
                  <c:v>财政拨款收入</c:v>
                </c:pt>
                <c:pt idx="1">
                  <c:v>财政拨款支出</c:v>
                </c:pt>
              </c:strCache>
            </c:strRef>
          </c:cat>
          <c:val>
            <c:numRef>
              <c:f>Sheet1!$C$2:$C$3</c:f>
              <c:numCache>
                <c:formatCode>General</c:formatCode>
                <c:ptCount val="2"/>
                <c:pt idx="0">
                  <c:v>1166.8</c:v>
                </c:pt>
                <c:pt idx="1">
                  <c:v>1234.32</c:v>
                </c:pt>
              </c:numCache>
            </c:numRef>
          </c:val>
        </c:ser>
        <c:dLbls>
          <c:showLegendKey val="0"/>
          <c:showVal val="0"/>
          <c:showCatName val="0"/>
          <c:showSerName val="0"/>
          <c:showPercent val="0"/>
          <c:showBubbleSize val="0"/>
        </c:dLbls>
        <c:gapWidth val="219"/>
        <c:overlap val="-27"/>
        <c:axId val="322432157"/>
        <c:axId val="593855553"/>
      </c:barChart>
      <c:catAx>
        <c:axId val="32243215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3855553"/>
        <c:crosses val="autoZero"/>
        <c:auto val="1"/>
        <c:lblAlgn val="ctr"/>
        <c:lblOffset val="100"/>
        <c:noMultiLvlLbl val="0"/>
      </c:catAx>
      <c:valAx>
        <c:axId val="59385555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2432157"/>
        <c:crosses val="autoZero"/>
        <c:crossBetween val="between"/>
      </c:valAx>
      <c:spPr>
        <a:noFill/>
        <a:ln>
          <a:noFill/>
        </a:ln>
        <a:effectLst/>
      </c:spPr>
    </c:plotArea>
    <c:legend>
      <c:legendPos val="b"/>
      <c:layout>
        <c:manualLayout>
          <c:xMode val="edge"/>
          <c:yMode val="edge"/>
          <c:x val="0.793969849246231"/>
          <c:y val="0.906453980243933"/>
          <c:w val="0.202164669501353"/>
          <c:h val="0.08830950378469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57621440536013"/>
          <c:y val="0.0710854947166186"/>
          <c:w val="0.885890993428682"/>
          <c:h val="0.778174831892411"/>
        </c:manualLayout>
      </c:layout>
      <c:barChart>
        <c:barDir val="col"/>
        <c:grouping val="clustered"/>
        <c:varyColors val="0"/>
        <c:ser>
          <c:idx val="0"/>
          <c:order val="0"/>
          <c:tx>
            <c:strRef>
              <c:f>Sheet1!$B$1</c:f>
              <c:strCache>
                <c:ptCount val="1"/>
                <c:pt idx="0">
                  <c:v>年初预算数</c:v>
                </c:pt>
              </c:strCache>
            </c:strRef>
          </c:tx>
          <c:spPr>
            <a:solidFill>
              <a:schemeClr val="accent1"/>
            </a:solidFill>
            <a:ln>
              <a:noFill/>
            </a:ln>
            <a:effectLst/>
          </c:spPr>
          <c:invertIfNegative val="0"/>
          <c:dLbls>
            <c:delete val="1"/>
          </c:dLbls>
          <c:cat>
            <c:strRef>
              <c:f>Sheet1!$A$2:$A$3</c:f>
              <c:strCache>
                <c:ptCount val="2"/>
                <c:pt idx="0">
                  <c:v>一般公共预算收入</c:v>
                </c:pt>
                <c:pt idx="1">
                  <c:v>一般公共预算支出</c:v>
                </c:pt>
              </c:strCache>
            </c:strRef>
          </c:cat>
          <c:val>
            <c:numRef>
              <c:f>Sheet1!$B$2:$B$3</c:f>
              <c:numCache>
                <c:formatCode>General</c:formatCode>
                <c:ptCount val="2"/>
                <c:pt idx="0">
                  <c:v>1116.37</c:v>
                </c:pt>
                <c:pt idx="1">
                  <c:v>989.38</c:v>
                </c:pt>
              </c:numCache>
            </c:numRef>
          </c:val>
        </c:ser>
        <c:ser>
          <c:idx val="1"/>
          <c:order val="1"/>
          <c:tx>
            <c:strRef>
              <c:f>Sheet1!$C$1</c:f>
              <c:strCache>
                <c:ptCount val="1"/>
                <c:pt idx="0">
                  <c:v>决算数</c:v>
                </c:pt>
              </c:strCache>
            </c:strRef>
          </c:tx>
          <c:spPr>
            <a:solidFill>
              <a:schemeClr val="accent1">
                <a:lumMod val="60000"/>
                <a:lumOff val="40000"/>
              </a:schemeClr>
            </a:solidFill>
            <a:ln>
              <a:noFill/>
            </a:ln>
            <a:effectLst/>
          </c:spPr>
          <c:invertIfNegative val="0"/>
          <c:dLbls>
            <c:delete val="1"/>
          </c:dLbls>
          <c:cat>
            <c:strRef>
              <c:f>Sheet1!$A$2:$A$3</c:f>
              <c:strCache>
                <c:ptCount val="2"/>
                <c:pt idx="0">
                  <c:v>一般公共预算收入</c:v>
                </c:pt>
                <c:pt idx="1">
                  <c:v>一般公共预算支出</c:v>
                </c:pt>
              </c:strCache>
            </c:strRef>
          </c:cat>
          <c:val>
            <c:numRef>
              <c:f>Sheet1!$C$2:$C$3</c:f>
              <c:numCache>
                <c:formatCode>General</c:formatCode>
                <c:ptCount val="2"/>
                <c:pt idx="0">
                  <c:v>1166.8</c:v>
                </c:pt>
                <c:pt idx="1">
                  <c:v>1037.42</c:v>
                </c:pt>
              </c:numCache>
            </c:numRef>
          </c:val>
        </c:ser>
        <c:dLbls>
          <c:showLegendKey val="0"/>
          <c:showVal val="0"/>
          <c:showCatName val="0"/>
          <c:showSerName val="0"/>
          <c:showPercent val="0"/>
          <c:showBubbleSize val="0"/>
        </c:dLbls>
        <c:gapWidth val="219"/>
        <c:overlap val="-27"/>
        <c:axId val="322432157"/>
        <c:axId val="593855553"/>
      </c:barChart>
      <c:catAx>
        <c:axId val="32243215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3855553"/>
        <c:crosses val="autoZero"/>
        <c:auto val="1"/>
        <c:lblAlgn val="ctr"/>
        <c:lblOffset val="100"/>
        <c:noMultiLvlLbl val="0"/>
      </c:catAx>
      <c:valAx>
        <c:axId val="59385555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2432157"/>
        <c:crosses val="autoZero"/>
        <c:crossBetween val="between"/>
      </c:valAx>
      <c:spPr>
        <a:noFill/>
        <a:ln>
          <a:noFill/>
        </a:ln>
        <a:effectLst/>
      </c:spPr>
    </c:plotArea>
    <c:legend>
      <c:legendPos val="b"/>
      <c:layout>
        <c:manualLayout>
          <c:xMode val="edge"/>
          <c:yMode val="edge"/>
          <c:x val="0.793969849246231"/>
          <c:y val="0.906453980243933"/>
          <c:w val="0.202164669501353"/>
          <c:h val="0.08830950378469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5625"/>
          <c:y val="0.1245"/>
          <c:w val="0.53625"/>
          <c:h val="0.715"/>
        </c:manualLayout>
      </c:layout>
      <c:pieChart>
        <c:varyColors val="1"/>
        <c:ser>
          <c:idx val="0"/>
          <c:order val="0"/>
          <c:tx>
            <c:strRef>
              <c:f>Sheet1!$B$2</c:f>
              <c:strCache>
                <c:ptCount val="1"/>
                <c:pt idx="0">
                  <c:v>列1</c:v>
                </c:pt>
              </c:strCache>
            </c:strRef>
          </c:tx>
          <c:spPr/>
          <c:explosion val="0"/>
          <c:dPt>
            <c:idx val="0"/>
            <c:bubble3D val="0"/>
            <c:spPr>
              <a:gradFill rotWithShape="1">
                <a:gsLst>
                  <a:gs pos="0">
                    <a:schemeClr val="accent1">
                      <a:tint val="65000"/>
                      <a:satMod val="180000"/>
                    </a:schemeClr>
                  </a:gs>
                  <a:gs pos="50000">
                    <a:schemeClr val="accent1">
                      <a:tint val="40000"/>
                      <a:satMod val="175000"/>
                    </a:schemeClr>
                  </a:gs>
                  <a:gs pos="100000">
                    <a:schemeClr val="accent1">
                      <a:tint val="65000"/>
                      <a:satMod val="180000"/>
                    </a:schemeClr>
                  </a:gs>
                </a:gsLst>
                <a:lin ang="0" scaled="1"/>
              </a:gradFill>
              <a:ln w="9525" cap="flat" cmpd="sng" algn="ctr">
                <a:solidFill>
                  <a:schemeClr val="accent1">
                    <a:shade val="95000"/>
                  </a:schemeClr>
                </a:solidFill>
                <a:round/>
              </a:ln>
              <a:effectLst>
                <a:outerShdw blurRad="190500" dist="78600" dir="2700000" rotWithShape="0">
                  <a:srgbClr val="000000">
                    <a:alpha val="35500"/>
                  </a:srgbClr>
                </a:outerShdw>
              </a:effectLst>
            </c:spPr>
          </c:dPt>
          <c:dPt>
            <c:idx val="1"/>
            <c:bubble3D val="0"/>
            <c:spPr>
              <a:gradFill rotWithShape="1">
                <a:gsLst>
                  <a:gs pos="0">
                    <a:schemeClr val="accent2">
                      <a:tint val="65000"/>
                      <a:satMod val="180000"/>
                    </a:schemeClr>
                  </a:gs>
                  <a:gs pos="50000">
                    <a:schemeClr val="accent2">
                      <a:tint val="40000"/>
                      <a:satMod val="175000"/>
                    </a:schemeClr>
                  </a:gs>
                  <a:gs pos="100000">
                    <a:schemeClr val="accent2">
                      <a:tint val="65000"/>
                      <a:satMod val="180000"/>
                    </a:schemeClr>
                  </a:gs>
                </a:gsLst>
                <a:lin ang="0" scaled="1"/>
              </a:gradFill>
              <a:ln w="9525" cap="flat" cmpd="sng" algn="ctr">
                <a:solidFill>
                  <a:schemeClr val="accent2">
                    <a:shade val="95000"/>
                  </a:schemeClr>
                </a:solidFill>
                <a:round/>
              </a:ln>
              <a:effectLst>
                <a:outerShdw blurRad="190500" dist="78600" dir="2700000" rotWithShape="0">
                  <a:srgbClr val="000000">
                    <a:alpha val="35500"/>
                  </a:srgbClr>
                </a:outerShdw>
              </a:effectLst>
            </c:spPr>
          </c:dPt>
          <c:dPt>
            <c:idx val="2"/>
            <c:bubble3D val="0"/>
            <c:explosion val="0"/>
            <c:spPr>
              <a:gradFill rotWithShape="1">
                <a:gsLst>
                  <a:gs pos="0">
                    <a:schemeClr val="accent3">
                      <a:tint val="65000"/>
                      <a:satMod val="180000"/>
                    </a:schemeClr>
                  </a:gs>
                  <a:gs pos="50000">
                    <a:schemeClr val="accent3">
                      <a:tint val="40000"/>
                      <a:satMod val="175000"/>
                    </a:schemeClr>
                  </a:gs>
                  <a:gs pos="100000">
                    <a:schemeClr val="accent3">
                      <a:tint val="65000"/>
                      <a:satMod val="180000"/>
                    </a:schemeClr>
                  </a:gs>
                </a:gsLst>
                <a:lin ang="0" scaled="1"/>
              </a:gradFill>
              <a:ln w="9525" cap="flat" cmpd="sng" algn="ctr">
                <a:solidFill>
                  <a:schemeClr val="accent3">
                    <a:shade val="95000"/>
                  </a:schemeClr>
                </a:solidFill>
                <a:round/>
              </a:ln>
              <a:effectLst>
                <a:outerShdw blurRad="190500" dist="78600" dir="2700000" rotWithShape="0">
                  <a:srgbClr val="000000">
                    <a:alpha val="35500"/>
                  </a:srgbClr>
                </a:outerShdw>
              </a:effectLst>
            </c:spPr>
          </c:dPt>
          <c:dPt>
            <c:idx val="3"/>
            <c:bubble3D val="0"/>
            <c:spPr>
              <a:gradFill rotWithShape="1">
                <a:gsLst>
                  <a:gs pos="0">
                    <a:schemeClr val="accent4">
                      <a:tint val="65000"/>
                      <a:satMod val="180000"/>
                    </a:schemeClr>
                  </a:gs>
                  <a:gs pos="50000">
                    <a:schemeClr val="accent4">
                      <a:tint val="40000"/>
                      <a:satMod val="175000"/>
                    </a:schemeClr>
                  </a:gs>
                  <a:gs pos="100000">
                    <a:schemeClr val="accent4">
                      <a:tint val="65000"/>
                      <a:satMod val="180000"/>
                    </a:schemeClr>
                  </a:gs>
                </a:gsLst>
                <a:lin ang="0" scaled="1"/>
              </a:gradFill>
              <a:ln w="9525" cap="flat" cmpd="sng" algn="ctr">
                <a:solidFill>
                  <a:schemeClr val="accent4">
                    <a:shade val="95000"/>
                  </a:schemeClr>
                </a:solidFill>
                <a:round/>
              </a:ln>
              <a:effectLst>
                <a:outerShdw blurRad="190500" dist="78600" dir="2700000" rotWithShape="0">
                  <a:srgbClr val="000000">
                    <a:alpha val="35500"/>
                  </a:srgbClr>
                </a:outerShdw>
              </a:effectLst>
            </c:spPr>
          </c:dPt>
          <c:dLbls>
            <c:dLbl>
              <c:idx val="0"/>
              <c:layout>
                <c:manualLayout>
                  <c:x val="-0.0143521452395705"/>
                  <c:y val="-0.01409677903557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dk1">
                            <a:alpha val="83000"/>
                          </a:schemeClr>
                        </a:solidFill>
                        <a:latin typeface="+mn-lt"/>
                        <a:ea typeface="+mn-ea"/>
                        <a:cs typeface="+mn-cs"/>
                      </a:defRPr>
                    </a:pPr>
                    <a:r>
                      <a:rPr lang="en-US" altLang="zh-CN">
                        <a:solidFill>
                          <a:schemeClr val="dk1">
                            <a:alpha val="83000"/>
                          </a:schemeClr>
                        </a:solidFill>
                      </a:rPr>
                      <a:t>4.67</a:t>
                    </a:r>
                    <a:r>
                      <a:rPr>
                        <a:solidFill>
                          <a:schemeClr val="dk1">
                            <a:alpha val="83000"/>
                          </a:schemeClr>
                        </a:solidFill>
                      </a:rPr>
                      <a:t>%</a:t>
                    </a:r>
                    <a:endParaRPr>
                      <a:solidFill>
                        <a:schemeClr val="dk1">
                          <a:alpha val="83000"/>
                        </a:schemeClr>
                      </a:solidFill>
                    </a:endParaRP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0037744452090709"/>
                  <c:y val="-0.0023240777669355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dk1">
                            <a:alpha val="83000"/>
                          </a:schemeClr>
                        </a:solidFill>
                        <a:latin typeface="+mn-lt"/>
                        <a:ea typeface="+mn-ea"/>
                        <a:cs typeface="+mn-cs"/>
                      </a:defRPr>
                    </a:pPr>
                    <a:r>
                      <a:rPr lang="en-US" altLang="zh-CN">
                        <a:solidFill>
                          <a:schemeClr val="dk1">
                            <a:alpha val="83000"/>
                          </a:schemeClr>
                        </a:solidFill>
                      </a:rPr>
                      <a:t>1.68</a:t>
                    </a:r>
                    <a:r>
                      <a:rPr>
                        <a:solidFill>
                          <a:schemeClr val="dk1">
                            <a:alpha val="83000"/>
                          </a:schemeClr>
                        </a:solidFill>
                      </a:rPr>
                      <a:t>%</a:t>
                    </a:r>
                    <a:endParaRPr>
                      <a:solidFill>
                        <a:schemeClr val="dk1">
                          <a:alpha val="83000"/>
                        </a:schemeClr>
                      </a:solidFill>
                    </a:endParaRP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dk1">
                            <a:alpha val="83000"/>
                          </a:schemeClr>
                        </a:solidFill>
                        <a:latin typeface="+mn-lt"/>
                        <a:ea typeface="+mn-ea"/>
                        <a:cs typeface="+mn-cs"/>
                      </a:defRPr>
                    </a:pPr>
                    <a:r>
                      <a:rPr>
                        <a:solidFill>
                          <a:schemeClr val="dk1">
                            <a:alpha val="83000"/>
                          </a:schemeClr>
                        </a:solidFill>
                      </a:rPr>
                      <a:t>9</a:t>
                    </a:r>
                    <a:r>
                      <a:rPr lang="en-US" altLang="zh-CN">
                        <a:solidFill>
                          <a:schemeClr val="dk1">
                            <a:alpha val="83000"/>
                          </a:schemeClr>
                        </a:solidFill>
                      </a:rPr>
                      <a:t>0.85</a:t>
                    </a:r>
                    <a:r>
                      <a:rPr>
                        <a:solidFill>
                          <a:schemeClr val="dk1">
                            <a:alpha val="83000"/>
                          </a:schemeClr>
                        </a:solidFill>
                      </a:rPr>
                      <a:t>%</a:t>
                    </a:r>
                    <a:endParaRPr>
                      <a:solidFill>
                        <a:schemeClr val="dk1">
                          <a:alpha val="83000"/>
                        </a:schemeClr>
                      </a:solidFill>
                    </a:endParaRPr>
                  </a:p>
                </c:rich>
              </c:tx>
              <c:dLblPos val="ctr"/>
              <c:showLegendKey val="0"/>
              <c:showVal val="0"/>
              <c:showCatName val="0"/>
              <c:showSerName val="0"/>
              <c:showPercent val="1"/>
              <c:showBubbleSize val="0"/>
              <c:extLst>
                <c:ext xmlns:c15="http://schemas.microsoft.com/office/drawing/2012/chart" uri="{CE6537A1-D6FC-4f65-9D91-7224C49458BB}"/>
              </c:extLst>
            </c:dLbl>
            <c:dLbl>
              <c:idx val="3"/>
              <c:layout>
                <c:manualLayout>
                  <c:x val="-0.0561039539023177"/>
                  <c:y val="-0.0050785968785334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dk1">
                            <a:alpha val="83000"/>
                          </a:schemeClr>
                        </a:solidFill>
                        <a:latin typeface="+mn-lt"/>
                        <a:ea typeface="+mn-ea"/>
                        <a:cs typeface="+mn-cs"/>
                      </a:defRPr>
                    </a:pPr>
                    <a:r>
                      <a:rPr lang="en-US" altLang="zh-CN">
                        <a:solidFill>
                          <a:schemeClr val="dk1">
                            <a:alpha val="83000"/>
                          </a:schemeClr>
                        </a:solidFill>
                      </a:rPr>
                      <a:t>2.8</a:t>
                    </a:r>
                    <a:r>
                      <a:rPr>
                        <a:solidFill>
                          <a:schemeClr val="dk1">
                            <a:alpha val="83000"/>
                          </a:schemeClr>
                        </a:solidFill>
                      </a:rPr>
                      <a:t>%</a:t>
                    </a:r>
                    <a:endParaRPr>
                      <a:solidFill>
                        <a:schemeClr val="dk1">
                          <a:alpha val="83000"/>
                        </a:schemeClr>
                      </a:solidFill>
                    </a:endParaRP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alpha val="83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Sheet1!$A$3:$A$6</c:f>
              <c:strCache>
                <c:ptCount val="4"/>
                <c:pt idx="0">
                  <c:v>社会保障和就业（类）支出</c:v>
                </c:pt>
                <c:pt idx="1">
                  <c:v>医疗卫生与计划生育支出</c:v>
                </c:pt>
                <c:pt idx="2">
                  <c:v>农林水支出</c:v>
                </c:pt>
                <c:pt idx="3">
                  <c:v>住房保障（类）支出</c:v>
                </c:pt>
              </c:strCache>
            </c:strRef>
          </c:cat>
          <c:val>
            <c:numRef>
              <c:f>Sheet1!$B$3:$B$6</c:f>
              <c:numCache>
                <c:formatCode>0.00_ </c:formatCode>
                <c:ptCount val="4"/>
                <c:pt idx="0">
                  <c:v>4.67</c:v>
                </c:pt>
                <c:pt idx="1">
                  <c:v>1.68</c:v>
                </c:pt>
                <c:pt idx="2">
                  <c:v>90.85</c:v>
                </c:pt>
                <c:pt idx="3">
                  <c:v>2.8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dk1">
                    <a:alpha val="83000"/>
                  </a:schemeClr>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dk1">
                    <a:alpha val="83000"/>
                  </a:schemeClr>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chemeClr val="dk1">
                    <a:alpha val="83000"/>
                  </a:schemeClr>
                </a:solidFill>
                <a:latin typeface="+mn-lt"/>
                <a:ea typeface="+mn-ea"/>
                <a:cs typeface="+mn-cs"/>
              </a:defRPr>
            </a:pPr>
          </a:p>
        </c:txPr>
      </c:legendEntry>
      <c:legendEntry>
        <c:idx val="3"/>
        <c:txPr>
          <a:bodyPr rot="0" spcFirstLastPara="0" vertOverflow="ellipsis" vert="horz" wrap="square" anchor="ctr" anchorCtr="1"/>
          <a:lstStyle/>
          <a:p>
            <a:pPr>
              <a:defRPr lang="zh-CN" sz="900" b="0" i="0" u="none" strike="noStrike" kern="1200" baseline="0">
                <a:solidFill>
                  <a:schemeClr val="dk1">
                    <a:alpha val="83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dk1">
                  <a:alpha val="83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dk1">
              <a:alpha val="83000"/>
            </a:schemeClr>
          </a:solidFill>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59DA58-3CA2-4856-9A51-CD581AE1A768}">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1657</Words>
  <Characters>9446</Characters>
  <Lines>78</Lines>
  <Paragraphs>22</Paragraphs>
  <TotalTime>0</TotalTime>
  <ScaleCrop>false</ScaleCrop>
  <LinksUpToDate>false</LinksUpToDate>
  <CharactersWithSpaces>11081</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WPS_1504838102</cp:lastModifiedBy>
  <cp:lastPrinted>2019-09-27T00:42:00Z</cp:lastPrinted>
  <dcterms:modified xsi:type="dcterms:W3CDTF">2021-06-08T08:24:49Z</dcterms:modified>
  <dc:subject>石家庄市xxx部门</dc:subject>
  <dc:title>2017年度部门决算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